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/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“</w:t>
      </w:r>
      <w:r>
        <w:rPr>
          <w:rFonts w:ascii="Times New Roman" w:hAnsi="Times New Roman"/>
          <w:sz w:val="24"/>
          <w:szCs w:val="24"/>
          <w:lang w:val="uk-UA"/>
        </w:rPr>
        <w:t>ЗАТВЕРДЖУЮ”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>Зав.кафедрою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uk-UA"/>
        </w:rPr>
        <w:t>проф..                                                   А.Г.Гулюк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“</w:t>
      </w:r>
      <w:r>
        <w:rPr>
          <w:rFonts w:ascii="Times New Roman" w:hAnsi="Times New Roman"/>
          <w:sz w:val="24"/>
          <w:szCs w:val="24"/>
          <w:lang w:val="uk-UA"/>
        </w:rPr>
        <w:t>_____”________________________20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  <w:lang w:val="uk-UA"/>
        </w:rPr>
        <w:t>5 р.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 ХІРУРГІЧНОЇ СТОМАТОЛОГІЇ ДИТЯЧОГО ВІКУ ДЛЯ СТУДЕНТІВ 4 КУРСУ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НА 2025-2026 НАВЧАЛЬНИЙ РІК</w:t>
      </w:r>
    </w:p>
    <w:tbl>
      <w:tblPr>
        <w:tblStyle w:val="a3"/>
        <w:tblW w:w="1538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15"/>
        <w:gridCol w:w="8234"/>
        <w:gridCol w:w="927"/>
        <w:gridCol w:w="850"/>
        <w:gridCol w:w="851"/>
        <w:gridCol w:w="1700"/>
        <w:gridCol w:w="1140"/>
        <w:gridCol w:w="1066"/>
      </w:tblGrid>
      <w:tr>
        <w:trPr/>
        <w:tc>
          <w:tcPr>
            <w:tcW w:w="615" w:type="dxa"/>
            <w:vMerge w:val="restart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№</w:t>
            </w:r>
          </w:p>
        </w:tc>
        <w:tc>
          <w:tcPr>
            <w:tcW w:w="8234" w:type="dxa"/>
            <w:vMerge w:val="restart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Т е м а  з а н я т т я</w:t>
            </w:r>
          </w:p>
        </w:tc>
        <w:tc>
          <w:tcPr>
            <w:tcW w:w="2628" w:type="dxa"/>
            <w:gridSpan w:val="3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Дати</w:t>
            </w:r>
          </w:p>
        </w:tc>
        <w:tc>
          <w:tcPr>
            <w:tcW w:w="1700" w:type="dxa"/>
            <w:vMerge w:val="restart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Хто проводить</w:t>
            </w:r>
          </w:p>
        </w:tc>
        <w:tc>
          <w:tcPr>
            <w:tcW w:w="1140" w:type="dxa"/>
            <w:vMerge w:val="restart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Обладнання</w:t>
            </w:r>
          </w:p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заняття</w:t>
            </w:r>
          </w:p>
        </w:tc>
        <w:tc>
          <w:tcPr>
            <w:tcW w:w="1066" w:type="dxa"/>
            <w:vMerge w:val="restart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Місце про-</w:t>
            </w:r>
          </w:p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ведення</w:t>
            </w:r>
          </w:p>
        </w:tc>
      </w:tr>
      <w:tr>
        <w:trPr/>
        <w:tc>
          <w:tcPr>
            <w:tcW w:w="615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  <w:tc>
          <w:tcPr>
            <w:tcW w:w="8234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 гр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2 гр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3 гр</w:t>
            </w:r>
          </w:p>
        </w:tc>
        <w:tc>
          <w:tcPr>
            <w:tcW w:w="1700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  <w:tc>
          <w:tcPr>
            <w:tcW w:w="1140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  <w:tc>
          <w:tcPr>
            <w:tcW w:w="1066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Пухлини  м'яких  тканин  ЩЛД у дітей (гемангіома, лімфангіома, ліпома, міома, фіброма). 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Етіологія, клініка, діагностика, принципи та способи лікування. Ускладнення  та їх профілактика.  Показання до кровозаміщуючої терапії при проведенні оперативних втручань на м`яких тканинах.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18.11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18.09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 xml:space="preserve">Доц.Крикляс В.Г., ас.Тащяна А..Е,доц.Дунгу В.І. 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Інструмен-тарій</w:t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cs=""/>
                <w:kern w:val="0"/>
                <w:sz w:val="20"/>
                <w:szCs w:val="20"/>
                <w:lang w:bidi="ar-S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Навчальний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cs=""/>
                <w:kern w:val="0"/>
                <w:sz w:val="20"/>
                <w:szCs w:val="20"/>
                <w:lang w:bidi="ar-S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  <w:t>центр, вул.Пішо-нівська 1</w:t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2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Вроджені та набуті пухлиноподібні утворення м'яких тканин обличчя (епідермоїд, дермоїд, тератома, кісти та нориці шиї, атерома, папілома). Етіологія, патогенез, диференційна       діагностика та особливості хірургічного лікування, профілактикика ускладнень.  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Нейрофіброматоз. Етіологія, клініка,    діагностика, комплексне лікування, та реабілітація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19.11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19.09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3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Остеогенні  (остеобластокластома, остеома, остеоїд-остеома) та одонтогенні (амелобластома, одонтома, цементома) новоутворення щелеп у дітей. Етіологія, патогенез, діагностика, диференційна діагностика, клініка, методи хірургічного лікування. Ускладнення та шляхи їх попередження. Реабілітаційні заходи,  етапність та об’єм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20.11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22.09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3.09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4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Пухлиноподібні новоутворення щелеп -кісти (радикулярна, фолікулярна,    резидуальна, фісуральна , первинна   кісткова, кіста прорізування). 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Етіологія, патогенез. Методи діагностики, диференційна діагностика та способи хірургічного  лікування. Реабілітація дітей після цистектомії та цистотомії.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21.11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23.09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4.09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5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Пухлиноподібні новоутворення кісток ЩЛД: фіброзна остеодисплазія, херувізм,  гіперпаратиреоїдна фіброзна остеодистрофія,епуліси. 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Етіопатогенетичні основи, клініка, діагностика, диференційна діагностика, принципи та методи  лікування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24.11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24.09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5.09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6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Істинні пухлини та пухлиноподібні новоутворення слинних залоз (плеоморфна та мономорфна аденома, гемангіома,  лімфангіома, кісти малих та великих слинних залоз). Діагностика, диференційна діагностика, клініка, принципи лікування. Післяопераційні ускладнення та їх профілактика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25.11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25.09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8.09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7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Злоякісні  пухлини тканин ЩЛД у дітей. Класифікація, етіологія, патогенез, клінічні особливості перебігу, методи діагностики, диференційна діагностика. Первинна верифікація злоякісних пухлин. Принципи диспансеризації та лікування.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26.11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26.09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9.09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8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 xml:space="preserve">Травматичні пошкодження м’яких тканин (забиття, гематоми, садна, рани, опіки, відмороження). ПХО різних видів ран. Показання до проведення протиправцевої та антирабічної вакцинації. 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27.11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29.09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10.09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9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Травматичні пошкодження зубів (забій, вивихи – повний, неповний, інтрузійний) ЩЛД у дітей. Клініка, діагностика, диференційна діагностика, особливості лікування в різному віці, реабілітація таких хворих. 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28.11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30.09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11.09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10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Травматичні пошкодження кісток (переломи нижньої та верхньої щелеп, вилицевого комплексу) ЩЛД у дітей. Клініка, діагностика, диференційна діагностика, особливості лікування в різному віці, реабілітація таких хворих. 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>Комбінована та поєднана травма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1.12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1.10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12.09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11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Розщілини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bidi="ar-SA"/>
              </w:rPr>
              <w:t xml:space="preserve"> верхньої  губи. Колобома, оро-фаціально-дигітальний синдром. Короткі вуздечки губ та язика. Мілкий присінок. Статистика, класифікація, етіологія, патогенез. Клініка,  діагностика, принципи, етапність, об’єм комплексного лікування та реабілітація хворих.</w:t>
            </w: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 xml:space="preserve"> Методи лікування, розроблені на кафедрі хірургічної стоматології.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2.12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2.10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13.09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12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uk-UA" w:bidi="ar-SA"/>
              </w:rPr>
              <w:t>Розщілини верхньої губи та піднебіння, причини розвитку, Комплексне лікування та етапи реабілітації дітей з вродженими вадами розвитку тканин ЩЛД. Вклад кафедри хірургічної  стоматології в розвиток хірургії вроджених розщілин  верхньогї губи  та піднебіння.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Вроджені розщілини піднебіння. Статистика, класифікація, етіологія, патогенез, клініка, діагностика, методи хірургічного лікування. Комплексна  реабілітація   дітей з розщілиною піднебіння. Вигодовування дітей з розщілиною піднебіння.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3.12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3.10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16.09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  <w:tr>
        <w:trPr/>
        <w:tc>
          <w:tcPr>
            <w:tcW w:w="615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  <w:t>13</w:t>
            </w:r>
          </w:p>
        </w:tc>
        <w:tc>
          <w:tcPr>
            <w:tcW w:w="82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uk-UA" w:bidi="ar-SA"/>
              </w:rPr>
              <w:t>Анкілоз СНЩС. Клініка,  діагностика, диференційна діагностика, особливості лікування в різному віці, реабілітація таких хворих.</w:t>
            </w:r>
          </w:p>
        </w:tc>
        <w:tc>
          <w:tcPr>
            <w:tcW w:w="927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4.12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6.10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en-US" w:bidi="ar-SA"/>
              </w:rPr>
              <w:t>17.09</w:t>
            </w:r>
          </w:p>
        </w:tc>
        <w:tc>
          <w:tcPr>
            <w:tcW w:w="170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0"/>
                <w:szCs w:val="20"/>
                <w:lang w:val="uk-UA" w:bidi="ar-SA"/>
              </w:rPr>
            </w:r>
          </w:p>
        </w:tc>
        <w:tc>
          <w:tcPr>
            <w:tcW w:w="1066" w:type="dxa"/>
            <w:tcBorders/>
          </w:tcPr>
          <w:p>
            <w:pPr>
              <w:pStyle w:val="Normal"/>
              <w:widowControl/>
              <w:spacing w:before="0" w:after="20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cs="" w:ascii="Times New Roman" w:hAnsi="Times New Roman"/>
                <w:kern w:val="0"/>
                <w:sz w:val="24"/>
                <w:szCs w:val="24"/>
                <w:lang w:val="uk-UA" w:bidi="ar-SA"/>
              </w:rPr>
            </w:r>
          </w:p>
        </w:tc>
      </w:tr>
    </w:tbl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Завуч кафедри  асистент                                                                                           Лунгу К.В.</w:t>
      </w:r>
    </w:p>
    <w:sectPr>
      <w:type w:val="nextPage"/>
      <w:pgSz w:orient="landscape" w:w="16834" w:h="11909"/>
      <w:pgMar w:left="850" w:right="850" w:gutter="0" w:header="0" w:top="720" w:footer="0" w:bottom="85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3bf0"/>
    <w:pPr>
      <w:widowControl/>
      <w:bidi w:val="0"/>
      <w:spacing w:lineRule="auto" w:line="276" w:before="0" w:after="200"/>
      <w:jc w:val="left"/>
    </w:pPr>
    <w:rPr>
      <w:rFonts w:eastAsia="" w:eastAsiaTheme="minorEastAsia" w:ascii="Calibri" w:hAnsi="Calibri" w:cs="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у виносці Знак"/>
    <w:basedOn w:val="DefaultParagraphFont"/>
    <w:link w:val="BalloonText"/>
    <w:uiPriority w:val="99"/>
    <w:semiHidden/>
    <w:qFormat/>
    <w:rsid w:val="00835b2c"/>
    <w:rPr>
      <w:rFonts w:ascii="Segoe UI" w:hAnsi="Segoe UI" w:eastAsia="" w:cs="Segoe UI" w:eastAsiaTheme="minorEastAsia"/>
      <w:sz w:val="18"/>
      <w:szCs w:val="18"/>
      <w:lang w:val="ru-RU" w:eastAsia="ru-RU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Покажчик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835b2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Style17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7058c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LibreOffice/25.2.5.2$Windows_X86_64 LibreOffice_project/03d19516eb2e1dd5d4ccd751a0d6f35f35e08022</Application>
  <AppVersion>15.0000</AppVersion>
  <Pages>2</Pages>
  <Words>496</Words>
  <Characters>3754</Characters>
  <CharactersWithSpaces>4968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2023-07-17T06:42:00Z</dcterms:created>
  <dc:creator>Мотовиц</dc:creator>
  <dc:description/>
  <dc:language>en-US</dc:language>
  <cp:lastModifiedBy/>
  <cp:lastPrinted>2024-09-04T09:40:00Z</cp:lastPrinted>
  <dcterms:modified xsi:type="dcterms:W3CDTF">2025-08-28T10:45:04Z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