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 w:before="0" w:after="0"/>
        <w:jc w:val="start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+   </w:t>
      </w:r>
      <w:r>
        <w:rPr>
          <w:rFonts w:cs="Times New Roman" w:ascii="Times New Roman" w:hAnsi="Times New Roman"/>
          <w:sz w:val="24"/>
          <w:szCs w:val="24"/>
        </w:rPr>
        <w:t xml:space="preserve">    «ЗАТВЕРДЖУЮ»</w:t>
      </w:r>
    </w:p>
    <w:p>
      <w:pPr>
        <w:pStyle w:val="Normal"/>
        <w:bidi w:val="0"/>
        <w:spacing w:lineRule="auto" w:line="240" w:before="0" w:after="0"/>
        <w:jc w:val="start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Зав.кафедрою</w:t>
      </w:r>
    </w:p>
    <w:p>
      <w:pPr>
        <w:pStyle w:val="Normal"/>
        <w:bidi w:val="0"/>
        <w:spacing w:lineRule="auto" w:line="240" w:before="0" w:after="0"/>
        <w:jc w:val="start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проф</w:t>
      </w:r>
      <w:r>
        <w:rPr>
          <w:rFonts w:cs="Times New Roman" w:ascii="Times New Roman" w:hAnsi="Times New Roman"/>
          <w:sz w:val="24"/>
          <w:szCs w:val="24"/>
          <w:lang w:val="uk-UA"/>
        </w:rPr>
        <w:t>есор</w:t>
      </w:r>
      <w:r>
        <w:rPr>
          <w:rFonts w:cs="Times New Roman" w:ascii="Times New Roman" w:hAnsi="Times New Roman"/>
          <w:sz w:val="24"/>
          <w:szCs w:val="24"/>
        </w:rPr>
        <w:t xml:space="preserve">                                  А.Г.Гулюк</w:t>
      </w:r>
    </w:p>
    <w:p>
      <w:pPr>
        <w:pStyle w:val="Normal"/>
        <w:bidi w:val="0"/>
        <w:spacing w:lineRule="auto" w:line="240" w:before="0" w:after="0"/>
        <w:jc w:val="start"/>
        <w:rPr>
          <w:rFonts w:ascii="Times New Roman" w:hAnsi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«____»_________________202</w:t>
      </w:r>
      <w:r>
        <w:rPr>
          <w:rFonts w:cs="Times New Roman" w:ascii="Times New Roman" w:hAnsi="Times New Roman"/>
          <w:sz w:val="24"/>
          <w:szCs w:val="24"/>
          <w:lang w:val="uk-UA"/>
        </w:rPr>
        <w:t>5</w:t>
      </w:r>
      <w:r>
        <w:rPr>
          <w:rFonts w:cs="Times New Roman" w:ascii="Times New Roman" w:hAnsi="Times New Roman"/>
          <w:sz w:val="24"/>
          <w:szCs w:val="24"/>
        </w:rPr>
        <w:t>р.</w:t>
      </w:r>
    </w:p>
    <w:p>
      <w:pPr>
        <w:pStyle w:val="Normal"/>
        <w:bidi w:val="0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КАЛЕНДАРНО-ТЕМАТИЧНИЙ ПЛАН ЛЕКЦІЙ</w:t>
      </w:r>
    </w:p>
    <w:p>
      <w:pPr>
        <w:pStyle w:val="Normal"/>
        <w:bidi w:val="0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З ХІРУРГІЧНОЇ СТОМАТОЛОГІЇ ДЛЯ СТУДЕНТІВ </w:t>
      </w:r>
      <w:r>
        <w:rPr>
          <w:rFonts w:cs="Times New Roman" w:ascii="Times New Roman" w:hAnsi="Times New Roman"/>
          <w:sz w:val="24"/>
          <w:szCs w:val="24"/>
          <w:lang w:val="en-US"/>
        </w:rPr>
        <w:t>V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 СЕМЕСТРУ</w:t>
      </w:r>
      <w:r>
        <w:rPr>
          <w:rFonts w:cs="Times New Roman" w:ascii="Times New Roman" w:hAnsi="Times New Roman"/>
          <w:sz w:val="24"/>
          <w:szCs w:val="24"/>
        </w:rPr>
        <w:t xml:space="preserve">  СТОМАТОЛОГІЧНОГО ФАКУЛЬТЕТУ</w:t>
      </w:r>
    </w:p>
    <w:p>
      <w:pPr>
        <w:pStyle w:val="Normal"/>
        <w:bidi w:val="0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</w:rPr>
        <w:t>НА 202</w:t>
      </w:r>
      <w:r>
        <w:rPr>
          <w:rFonts w:cs="Times New Roman" w:ascii="Times New Roman" w:hAnsi="Times New Roman"/>
          <w:sz w:val="24"/>
          <w:szCs w:val="24"/>
          <w:lang w:val="uk-UA"/>
        </w:rPr>
        <w:t>5</w:t>
      </w:r>
      <w:r>
        <w:rPr>
          <w:rFonts w:cs="Times New Roman" w:ascii="Times New Roman" w:hAnsi="Times New Roman"/>
          <w:sz w:val="24"/>
          <w:szCs w:val="24"/>
        </w:rPr>
        <w:t>-202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6  </w:t>
      </w:r>
      <w:r>
        <w:rPr>
          <w:rFonts w:cs="Times New Roman" w:ascii="Times New Roman" w:hAnsi="Times New Roman"/>
          <w:sz w:val="24"/>
          <w:szCs w:val="24"/>
        </w:rPr>
        <w:t>НАВЧАЛЬНИЙ РІК</w:t>
      </w:r>
    </w:p>
    <w:tbl>
      <w:tblPr>
        <w:tblW w:w="15461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</w:tblPr>
      <w:tblGrid>
        <w:gridCol w:w="533"/>
        <w:gridCol w:w="7512"/>
        <w:gridCol w:w="852"/>
        <w:gridCol w:w="1133"/>
        <w:gridCol w:w="1418"/>
        <w:gridCol w:w="1703"/>
        <w:gridCol w:w="849"/>
        <w:gridCol w:w="1461"/>
      </w:tblGrid>
      <w:tr>
        <w:trPr/>
        <w:tc>
          <w:tcPr>
            <w:tcW w:w="5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№</w:t>
            </w:r>
          </w:p>
        </w:tc>
        <w:tc>
          <w:tcPr>
            <w:tcW w:w="751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Тема</w:t>
            </w:r>
          </w:p>
        </w:tc>
        <w:tc>
          <w:tcPr>
            <w:tcW w:w="85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Кільк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год</w:t>
            </w:r>
          </w:p>
        </w:tc>
        <w:tc>
          <w:tcPr>
            <w:tcW w:w="11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Факульт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Групи</w:t>
            </w:r>
          </w:p>
        </w:tc>
        <w:tc>
          <w:tcPr>
            <w:tcW w:w="141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Лектор</w:t>
            </w:r>
          </w:p>
        </w:tc>
        <w:tc>
          <w:tcPr>
            <w:tcW w:w="170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Обладнання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лекцій</w:t>
            </w:r>
          </w:p>
        </w:tc>
        <w:tc>
          <w:tcPr>
            <w:tcW w:w="84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Дата</w:t>
            </w:r>
          </w:p>
        </w:tc>
        <w:tc>
          <w:tcPr>
            <w:tcW w:w="146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Місце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проведення</w:t>
            </w:r>
          </w:p>
        </w:tc>
      </w:tr>
      <w:tr>
        <w:trPr/>
        <w:tc>
          <w:tcPr>
            <w:tcW w:w="5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751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List"/>
              <w:bidi w:val="0"/>
              <w:ind w:end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  <w:lang w:val="uk-UA"/>
              </w:rPr>
              <w:t>стор</w:t>
            </w:r>
            <w:r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  <w:lang w:val="uk-UA"/>
              </w:rPr>
              <w:t>я х</w:t>
            </w:r>
            <w:r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  <w:lang w:val="uk-UA"/>
              </w:rPr>
              <w:t>рург</w:t>
            </w:r>
            <w:r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  <w:lang w:val="uk-UA"/>
              </w:rPr>
              <w:t>чної стоматолог</w:t>
            </w:r>
            <w:r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  <w:lang w:val="uk-UA"/>
              </w:rPr>
              <w:t>ї та щелепно-лицевої х</w:t>
            </w:r>
            <w:r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  <w:lang w:val="uk-UA"/>
              </w:rPr>
              <w:t>рург</w:t>
            </w:r>
            <w:r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  <w:lang w:val="uk-UA"/>
              </w:rPr>
              <w:t xml:space="preserve">ї, їх визначення </w:t>
            </w:r>
            <w:r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  <w:lang w:val="uk-UA"/>
              </w:rPr>
              <w:t xml:space="preserve"> завдання.</w:t>
            </w:r>
          </w:p>
          <w:p>
            <w:pPr>
              <w:pStyle w:val="List"/>
              <w:bidi w:val="0"/>
              <w:spacing w:before="0" w:after="140"/>
              <w:ind w:end="0"/>
              <w:jc w:val="both"/>
              <w:rPr/>
            </w:pPr>
            <w:r>
              <w:rPr>
                <w:sz w:val="24"/>
                <w:szCs w:val="24"/>
              </w:rPr>
              <w:t>Визначення болю; реакцiї органiзму на бiль, операцiйну травму. Знебол</w:t>
            </w:r>
            <w:r>
              <w:rPr>
                <w:sz w:val="24"/>
                <w:szCs w:val="24"/>
                <w:lang w:val="uk-UA"/>
              </w:rPr>
              <w:t>е</w:t>
            </w:r>
            <w:r>
              <w:rPr>
                <w:sz w:val="24"/>
                <w:szCs w:val="24"/>
              </w:rPr>
              <w:t>ння в хiрургiчнiй стоматологiї. Мiсцеве знебол</w:t>
            </w:r>
            <w:r>
              <w:rPr>
                <w:sz w:val="24"/>
                <w:szCs w:val="24"/>
                <w:lang w:val="uk-UA"/>
              </w:rPr>
              <w:t>е</w:t>
            </w:r>
            <w:r>
              <w:rPr>
                <w:sz w:val="24"/>
                <w:szCs w:val="24"/>
              </w:rPr>
              <w:t>ння. Показання та протипоказання до нього,. Ускладнення мiсцевого знебол</w:t>
            </w:r>
            <w:r>
              <w:rPr>
                <w:sz w:val="24"/>
                <w:szCs w:val="24"/>
                <w:lang w:val="uk-UA"/>
              </w:rPr>
              <w:t>е</w:t>
            </w:r>
            <w:r>
              <w:rPr>
                <w:sz w:val="24"/>
                <w:szCs w:val="24"/>
              </w:rPr>
              <w:t>ння, їх лiкування та профiлактика.</w:t>
            </w:r>
          </w:p>
        </w:tc>
        <w:tc>
          <w:tcPr>
            <w:tcW w:w="85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Стомат.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1-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41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Проф.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А.Г.Гулюк</w:t>
            </w:r>
          </w:p>
        </w:tc>
        <w:tc>
          <w:tcPr>
            <w:tcW w:w="170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Портрети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вчених, Мультимедійний проектор, компьютер</w:t>
            </w:r>
          </w:p>
        </w:tc>
        <w:tc>
          <w:tcPr>
            <w:tcW w:w="84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1,09</w:t>
            </w:r>
          </w:p>
        </w:tc>
        <w:tc>
          <w:tcPr>
            <w:tcW w:w="146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before="0" w:after="0"/>
              <w:jc w:val="start"/>
              <w:rPr>
                <w:rFonts w:ascii="Times New Roman" w:hAnsi="Times New Roman" w:cs="Times New Roman"/>
                <w:lang w:val="uk-UA" w:eastAsia="uk-UA"/>
              </w:rPr>
            </w:pPr>
            <w:r>
              <w:rPr>
                <w:rFonts w:cs="Times New Roman" w:ascii="Times New Roman" w:hAnsi="Times New Roman"/>
                <w:lang w:val="uk-UA" w:eastAsia="uk-UA"/>
              </w:rPr>
              <w:t>Навчальний центр. Вул.Пішонівська 1</w:t>
            </w:r>
          </w:p>
        </w:tc>
      </w:tr>
      <w:tr>
        <w:trPr/>
        <w:tc>
          <w:tcPr>
            <w:tcW w:w="5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751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start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 w:eastAsia="en-US"/>
              </w:rPr>
              <w:t>Просте, складне та атипове видалення зубів. Показання та протипоказання, Техніка оперативного втручання, Можливі ускладнення та наслідки</w:t>
            </w:r>
          </w:p>
          <w:p>
            <w:pPr>
              <w:pStyle w:val="Normal"/>
              <w:bidi w:val="0"/>
              <w:spacing w:lineRule="auto" w:line="240" w:before="0" w:after="0"/>
              <w:jc w:val="start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 w:eastAsia="en-US"/>
              </w:rPr>
              <w:t>Ретенція і дістопія нижніх третіх молярів.  Діагностика і лікування.</w:t>
            </w:r>
          </w:p>
        </w:tc>
        <w:tc>
          <w:tcPr>
            <w:tcW w:w="85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Стомат.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1-2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41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Проф.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А.Г.Гулюк</w:t>
            </w:r>
          </w:p>
        </w:tc>
        <w:tc>
          <w:tcPr>
            <w:tcW w:w="170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Мультимедійний проектор, компьютер Інструмен-тарій</w:t>
            </w:r>
          </w:p>
        </w:tc>
        <w:tc>
          <w:tcPr>
            <w:tcW w:w="84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4,09</w:t>
            </w:r>
          </w:p>
        </w:tc>
        <w:tc>
          <w:tcPr>
            <w:tcW w:w="146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  <w:tr>
        <w:trPr/>
        <w:tc>
          <w:tcPr>
            <w:tcW w:w="5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751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 w:eastAsia="en-US"/>
              </w:rPr>
              <w:t>Диференційна діагностика гострих одонтогенних запальних захворювань. Періодонтит гострий і хронічний. Гранулюючий періодонтит.</w:t>
            </w:r>
          </w:p>
          <w:p>
            <w:pPr>
              <w:pStyle w:val="Normal"/>
              <w:bidi w:val="0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uk-UA" w:eastAsia="en-US"/>
              </w:rPr>
              <w:t xml:space="preserve">Одонтогенний остеомієліт щелеп. Патогенез, епідеміологія, класифікація остеомієліту. Абсцеси, флегмони, щелепно-лицевої ділянки (ЩЛД): визначення, класифікація, етіологія, патогенез, клініка, принципи лікування, ускладнення, профілактика. Етіологічні та патогенетичні принципи лікування запальних процесів </w:t>
            </w:r>
            <w:r>
              <w:rPr>
                <w:rFonts w:cs="Times New Roman" w:ascii="Times New Roman" w:hAnsi="Times New Roman"/>
                <w:sz w:val="24"/>
                <w:szCs w:val="24"/>
                <w:lang w:eastAsia="en-US"/>
              </w:rPr>
              <w:t>ЩЛД</w:t>
            </w:r>
            <w:r>
              <w:rPr>
                <w:rFonts w:cs="Times New Roman" w:ascii="Times New Roman" w:hAnsi="Times New Roman"/>
                <w:sz w:val="24"/>
                <w:szCs w:val="24"/>
                <w:lang w:val="uk-UA" w:eastAsia="en-US"/>
              </w:rPr>
              <w:t>.</w:t>
            </w:r>
          </w:p>
        </w:tc>
        <w:tc>
          <w:tcPr>
            <w:tcW w:w="85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Стомат.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1-2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41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Проф.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А.Г.Гулюк</w:t>
            </w:r>
          </w:p>
        </w:tc>
        <w:tc>
          <w:tcPr>
            <w:tcW w:w="170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start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Мультимедійний проектор, компьютер</w:t>
            </w:r>
          </w:p>
        </w:tc>
        <w:tc>
          <w:tcPr>
            <w:tcW w:w="84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10,09</w:t>
            </w:r>
          </w:p>
        </w:tc>
        <w:tc>
          <w:tcPr>
            <w:tcW w:w="146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napToGrid w:val="false"/>
              <w:spacing w:lineRule="auto" w:line="240" w:before="0" w:after="0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5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751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BodyText"/>
              <w:bidi w:val="0"/>
              <w:spacing w:lineRule="auto" w:line="276" w:before="0" w:after="0"/>
              <w:jc w:val="start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szCs w:val="24"/>
                <w:lang w:val="uk-UA" w:eastAsia="en-US"/>
              </w:rPr>
              <w:t>Одонтогенний гайморит: класифікація, етіологія, патогенез, клініка, диференційна діагностика, лікування, ускладнення, профілактика.</w:t>
            </w:r>
          </w:p>
          <w:p>
            <w:pPr>
              <w:pStyle w:val="Normal"/>
              <w:bidi w:val="0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  <w:lang w:val="uk-UA" w:eastAsia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 w:eastAsia="en-US"/>
              </w:rPr>
              <w:t>Лімфаденіти ЩЛД: етіологія, патоогенез, клініка, діагностика, лікування, профілактика. Фурункул, карбункули ЩЛД: етіологія, патогенез, клініка, лікування.</w:t>
            </w:r>
          </w:p>
        </w:tc>
        <w:tc>
          <w:tcPr>
            <w:tcW w:w="85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Стомат.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1-2</w:t>
            </w:r>
          </w:p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  <w:tc>
          <w:tcPr>
            <w:tcW w:w="141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Проф.</w:t>
            </w:r>
          </w:p>
          <w:p>
            <w:pPr>
              <w:pStyle w:val="Normal"/>
              <w:bidi w:val="0"/>
              <w:spacing w:before="0" w:after="0"/>
              <w:jc w:val="start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А.Г.Гулюк</w:t>
            </w:r>
          </w:p>
        </w:tc>
        <w:tc>
          <w:tcPr>
            <w:tcW w:w="170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before="0" w:after="0"/>
              <w:jc w:val="start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cs="Times New Roman" w:ascii="Times New Roman" w:hAnsi="Times New Roman"/>
                <w:sz w:val="20"/>
                <w:szCs w:val="20"/>
                <w:lang w:val="uk-UA"/>
              </w:rPr>
              <w:t>Мультимедійний проектор, компьютер</w:t>
            </w:r>
          </w:p>
        </w:tc>
        <w:tc>
          <w:tcPr>
            <w:tcW w:w="849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  <w:t>15,09</w:t>
            </w:r>
          </w:p>
        </w:tc>
        <w:tc>
          <w:tcPr>
            <w:tcW w:w="146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uk-UA"/>
              </w:rPr>
            </w:r>
          </w:p>
        </w:tc>
      </w:tr>
    </w:tbl>
    <w:p>
      <w:pPr>
        <w:pStyle w:val="Normal"/>
        <w:bidi w:val="0"/>
        <w:spacing w:lineRule="auto" w:line="240" w:before="0" w:after="0"/>
        <w:jc w:val="start"/>
        <w:rPr/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                        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Завуч кафедри асистент                           </w:t>
      </w: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                        Лунгу К.В.</w:t>
      </w:r>
    </w:p>
    <w:sectPr>
      <w:type w:val="nextPage"/>
      <w:pgSz w:orient="landscape" w:w="16838" w:h="11906"/>
      <w:pgMar w:left="1134" w:right="1134" w:gutter="0" w:header="0" w:top="691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cc" w:characterSet="windows-1251"/>
    <w:family w:val="roman"/>
    <w:pitch w:val="variable"/>
  </w:font>
  <w:font w:name="Liberation Sans">
    <w:altName w:val="Arial"/>
    <w:charset w:val="cc" w:characterSet="windows-1251"/>
    <w:family w:val="swiss"/>
    <w:pitch w:val="variable"/>
  </w:font>
  <w:font w:name="Times New Roman">
    <w:charset w:val="cc" w:characterSet="windows-1251"/>
    <w:family w:val="roman"/>
    <w:pitch w:val="variable"/>
  </w:font>
</w:fonts>
</file>

<file path=word/settings.xml><?xml version="1.0" encoding="utf-8"?>
<w:settings xmlns:w="http://schemas.openxmlformats.org/wordprocessingml/2006/main">
  <w:zoom w:percent="60"/>
  <w:defaultTabStop w:val="709"/>
  <w:autoHyphenation w:val="true"/>
  <w:hyphenationZone w:val="0"/>
  <w:compat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Liberation Serif;Times New Roman" w:hAnsi="Liberation Serif;Times New Roman" w:eastAsia="NSimSun" w:cs="Arial"/>
      <w:color w:val="auto"/>
      <w:kern w:val="2"/>
      <w:sz w:val="24"/>
      <w:szCs w:val="24"/>
      <w:lang w:val="en-US" w:eastAsia="zh-CN" w:bidi="hi-IN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5">
    <w:name w:val="Покажчик"/>
    <w:basedOn w:val="Normal"/>
    <w:qFormat/>
    <w:pPr>
      <w:suppressLineNumbers/>
    </w:pPr>
    <w:rPr>
      <w:rFonts w:cs="Arial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6">
    <w:name w:val="Вміст таблиці"/>
    <w:basedOn w:val="Normal"/>
    <w:qFormat/>
    <w:pPr>
      <w:widowControl w:val="false"/>
      <w:suppressLineNumbers/>
    </w:pPr>
    <w:rPr/>
  </w:style>
  <w:style w:type="paragraph" w:styleId="Style17">
    <w:name w:val="Заголовок таблиці"/>
    <w:basedOn w:val="Style16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LibreOffice/25.2.5.2$Windows_X86_64 LibreOffice_project/03d19516eb2e1dd5d4ccd751a0d6f35f35e08022</Application>
  <AppVersion>15.0000</AppVersion>
  <Pages>1</Pages>
  <Words>214</Words>
  <Characters>1719</Characters>
  <CharactersWithSpaces>2727</CharactersWithSpaces>
  <Paragraphs>62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2025-08-28T10:45:38Z</dcterms:created>
  <dc:creator/>
  <dc:description/>
  <dc:language>en-US</dc:language>
  <cp:lastModifiedBy/>
  <dcterms:modified xsi:type="dcterms:W3CDTF">2025-08-28T10:46:28Z</dcterms:modified>
  <cp:revision>1</cp:revision>
  <dc:subject/>
  <dc:title/>
</cp:coreProperties>
</file>