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Times New Roman" w:hAnsi="Times New Roman" w:cs="Times New Roman"/>
          <w:sz w:val="24"/>
          <w:szCs w:val="24"/>
        </w:rPr>
      </w:pPr>
      <w:r>
        <w:rPr>
          <w:rFonts w:ascii="Times New Roman" w:hAnsi="Times New Roman"/>
        </w:rPr>
      </w:r>
    </w:p>
    <w:p>
      <w:pPr>
        <w:pStyle w:val="Normal"/>
        <w:spacing w:lineRule="auto" w:line="240" w:before="0" w:after="0"/>
        <w:rPr>
          <w:rFonts w:ascii="Times New Roman" w:hAnsi="Times New Roman" w:cs="Times New Roman"/>
          <w:sz w:val="24"/>
          <w:szCs w:val="24"/>
          <w:lang w:val="uk-UA"/>
        </w:rPr>
      </w:pPr>
      <w:r>
        <w:rPr>
          <w:rFonts w:cs="Times New Roman" w:ascii="Times New Roman" w:hAnsi="Times New Roman"/>
          <w:sz w:val="24"/>
          <w:szCs w:val="24"/>
          <w:lang w:val="uk-UA"/>
        </w:rPr>
        <w:t xml:space="preserve">                                                                                                                                                                      </w:t>
      </w:r>
    </w:p>
    <w:p>
      <w:pPr>
        <w:pStyle w:val="Normal"/>
        <w:spacing w:lineRule="auto" w:line="240" w:before="0" w:after="0"/>
        <w:rPr>
          <w:rFonts w:ascii="Times New Roman" w:hAnsi="Times New Roman" w:cs="Times New Roman"/>
          <w:sz w:val="24"/>
          <w:szCs w:val="24"/>
          <w:lang w:val="uk-UA"/>
        </w:rPr>
      </w:pPr>
      <w:r>
        <w:rPr>
          <w:rFonts w:cs="Times New Roman" w:ascii="Times New Roman" w:hAnsi="Times New Roman"/>
          <w:sz w:val="24"/>
          <w:szCs w:val="24"/>
          <w:lang w:val="uk-UA"/>
        </w:rPr>
        <w:t xml:space="preserve">                                                     </w:t>
      </w:r>
      <w:r>
        <w:rPr>
          <w:rFonts w:cs="Times New Roman" w:ascii="Times New Roman" w:hAnsi="Times New Roman"/>
          <w:sz w:val="24"/>
          <w:szCs w:val="24"/>
          <w:lang w:val="en-US"/>
        </w:rPr>
        <w:t xml:space="preserve">                                                                                                            </w:t>
      </w:r>
      <w:r>
        <w:rPr>
          <w:rFonts w:cs="Times New Roman" w:ascii="Times New Roman" w:hAnsi="Times New Roman"/>
          <w:sz w:val="24"/>
          <w:szCs w:val="24"/>
          <w:lang w:val="uk-UA"/>
        </w:rPr>
        <w:t xml:space="preserve">     </w:t>
      </w:r>
      <w:r>
        <w:rPr>
          <w:rFonts w:cs="Times New Roman" w:ascii="Times New Roman" w:hAnsi="Times New Roman"/>
          <w:sz w:val="24"/>
          <w:szCs w:val="24"/>
        </w:rPr>
        <w:t>+</w:t>
      </w:r>
      <w:r>
        <w:rPr>
          <w:rFonts w:cs="Times New Roman" w:ascii="Times New Roman" w:hAnsi="Times New Roman"/>
          <w:sz w:val="24"/>
          <w:szCs w:val="24"/>
          <w:lang w:val="uk-UA"/>
        </w:rPr>
        <w:t xml:space="preserve">    “ЗАТВЕРДЖУЮ”</w:t>
      </w:r>
    </w:p>
    <w:p>
      <w:pPr>
        <w:pStyle w:val="Normal"/>
        <w:spacing w:lineRule="auto" w:line="240" w:before="0" w:after="0"/>
        <w:rPr>
          <w:rFonts w:ascii="Times New Roman" w:hAnsi="Times New Roman" w:cs="Times New Roman"/>
          <w:sz w:val="24"/>
          <w:szCs w:val="24"/>
          <w:lang w:val="uk-UA"/>
        </w:rPr>
      </w:pPr>
      <w:r>
        <w:rPr>
          <w:rFonts w:cs="Times New Roman" w:ascii="Times New Roman" w:hAnsi="Times New Roman"/>
          <w:sz w:val="24"/>
          <w:szCs w:val="24"/>
          <w:lang w:val="uk-UA"/>
        </w:rPr>
        <w:t xml:space="preserve">                                                                                                                                                      </w:t>
      </w:r>
      <w:r>
        <w:rPr>
          <w:rFonts w:cs="Times New Roman" w:ascii="Times New Roman" w:hAnsi="Times New Roman"/>
          <w:sz w:val="24"/>
          <w:szCs w:val="24"/>
          <w:lang w:val="uk-UA"/>
        </w:rPr>
        <w:t>Зав.кафедрою</w:t>
      </w:r>
    </w:p>
    <w:p>
      <w:pPr>
        <w:pStyle w:val="Normal"/>
        <w:spacing w:lineRule="auto" w:line="240" w:before="0" w:after="0"/>
        <w:rPr>
          <w:rFonts w:ascii="Times New Roman" w:hAnsi="Times New Roman" w:cs="Times New Roman"/>
          <w:sz w:val="24"/>
          <w:szCs w:val="24"/>
          <w:lang w:val="uk-UA"/>
        </w:rPr>
      </w:pPr>
      <w:r>
        <w:rPr>
          <w:rFonts w:cs="Times New Roman" w:ascii="Times New Roman" w:hAnsi="Times New Roman"/>
          <w:sz w:val="24"/>
          <w:szCs w:val="24"/>
          <w:lang w:val="uk-UA"/>
        </w:rPr>
        <w:t xml:space="preserve">                                                                                                                                                       </w:t>
      </w:r>
      <w:r>
        <w:rPr>
          <w:rFonts w:cs="Times New Roman" w:ascii="Times New Roman" w:hAnsi="Times New Roman"/>
          <w:sz w:val="24"/>
          <w:szCs w:val="24"/>
          <w:lang w:val="uk-UA"/>
        </w:rPr>
        <w:t>проф..                                                   А.Г.Гулюк</w:t>
      </w:r>
    </w:p>
    <w:p>
      <w:pPr>
        <w:pStyle w:val="Normal"/>
        <w:spacing w:lineRule="auto" w:line="240" w:before="0" w:after="0"/>
        <w:rPr>
          <w:rFonts w:ascii="Times New Roman" w:hAnsi="Times New Roman" w:cs="Times New Roman"/>
          <w:sz w:val="24"/>
          <w:szCs w:val="24"/>
          <w:lang w:val="uk-UA"/>
        </w:rPr>
      </w:pPr>
      <w:r>
        <w:rPr>
          <w:rFonts w:cs="Times New Roman" w:ascii="Times New Roman" w:hAnsi="Times New Roman"/>
          <w:sz w:val="24"/>
          <w:szCs w:val="24"/>
          <w:lang w:val="uk-UA"/>
        </w:rPr>
        <w:t xml:space="preserve">                                                                                                                                                       “</w:t>
      </w:r>
      <w:r>
        <w:rPr>
          <w:rFonts w:cs="Times New Roman" w:ascii="Times New Roman" w:hAnsi="Times New Roman"/>
          <w:sz w:val="24"/>
          <w:szCs w:val="24"/>
          <w:lang w:val="uk-UA"/>
        </w:rPr>
        <w:t>_____”________________________2025 р.</w:t>
      </w:r>
    </w:p>
    <w:p>
      <w:pPr>
        <w:pStyle w:val="Normal"/>
        <w:spacing w:lineRule="auto" w:line="240" w:before="0" w:after="0"/>
        <w:rPr>
          <w:rFonts w:ascii="Times New Roman" w:hAnsi="Times New Roman" w:cs="Times New Roman"/>
          <w:sz w:val="24"/>
          <w:szCs w:val="24"/>
          <w:lang w:val="uk-UA"/>
        </w:rPr>
      </w:pPr>
      <w:r>
        <w:rPr>
          <w:rFonts w:cs="Times New Roman" w:ascii="Times New Roman" w:hAnsi="Times New Roman"/>
          <w:sz w:val="24"/>
          <w:szCs w:val="24"/>
          <w:lang w:val="uk-UA"/>
        </w:rPr>
      </w:r>
    </w:p>
    <w:p>
      <w:pPr>
        <w:pStyle w:val="Normal"/>
        <w:spacing w:before="0" w:after="0"/>
        <w:jc w:val="center"/>
        <w:rPr>
          <w:rFonts w:ascii="Times New Roman" w:hAnsi="Times New Roman" w:cs="Times New Roman"/>
          <w:sz w:val="24"/>
          <w:szCs w:val="24"/>
          <w:lang w:val="uk-UA"/>
        </w:rPr>
      </w:pPr>
      <w:r>
        <w:rPr>
          <w:rFonts w:cs="Times New Roman" w:ascii="Times New Roman" w:hAnsi="Times New Roman"/>
          <w:sz w:val="24"/>
          <w:szCs w:val="24"/>
          <w:lang w:val="uk-UA"/>
        </w:rPr>
        <w:t>КАЛЕНДАРНО-ТЕМАТИЧНИЙ ПЛАН ПРАКТИЧНИХ ЗАНЯТЬ</w:t>
      </w:r>
    </w:p>
    <w:p>
      <w:pPr>
        <w:pStyle w:val="Normal"/>
        <w:spacing w:before="0" w:after="0"/>
        <w:jc w:val="center"/>
        <w:rPr>
          <w:rFonts w:ascii="Times New Roman" w:hAnsi="Times New Roman" w:cs="Times New Roman"/>
          <w:sz w:val="24"/>
          <w:szCs w:val="24"/>
          <w:lang w:val="uk-UA"/>
        </w:rPr>
      </w:pPr>
      <w:r>
        <w:rPr>
          <w:rFonts w:cs="Times New Roman" w:ascii="Times New Roman" w:hAnsi="Times New Roman"/>
          <w:sz w:val="24"/>
          <w:szCs w:val="24"/>
          <w:lang w:val="uk-UA"/>
        </w:rPr>
        <w:t>З ХІРУРГІЧНОЇ СТОМАТОЛОГІЇ ДЛЯ СТУДЕНТІВ 4 КУРСУ СТОМАТФАКУЛЬТЕТУ</w:t>
      </w:r>
    </w:p>
    <w:p>
      <w:pPr>
        <w:pStyle w:val="Normal"/>
        <w:spacing w:before="0" w:after="0"/>
        <w:jc w:val="center"/>
        <w:rPr>
          <w:rFonts w:ascii="Times New Roman" w:hAnsi="Times New Roman" w:cs="Times New Roman"/>
          <w:sz w:val="24"/>
          <w:szCs w:val="24"/>
          <w:lang w:val="uk-UA"/>
        </w:rPr>
      </w:pPr>
      <w:r>
        <w:rPr>
          <w:rFonts w:cs="Times New Roman" w:ascii="Times New Roman" w:hAnsi="Times New Roman"/>
          <w:sz w:val="24"/>
          <w:szCs w:val="24"/>
          <w:lang w:val="uk-UA"/>
        </w:rPr>
        <w:t>НА 2025-2026 НАВЧАЛЬНИЙ РІК</w:t>
      </w:r>
    </w:p>
    <w:tbl>
      <w:tblPr>
        <w:tblStyle w:val="a5"/>
        <w:tblW w:w="15401" w:type="dxa"/>
        <w:jc w:val="left"/>
        <w:tblInd w:w="-124" w:type="dxa"/>
        <w:tblLayout w:type="fixed"/>
        <w:tblCellMar>
          <w:top w:w="0" w:type="dxa"/>
          <w:left w:w="108" w:type="dxa"/>
          <w:bottom w:w="0" w:type="dxa"/>
          <w:right w:w="108" w:type="dxa"/>
        </w:tblCellMar>
        <w:tblLook w:firstRow="1" w:noVBand="1" w:lastRow="0" w:firstColumn="1" w:lastColumn="0" w:noHBand="0" w:val="04a0"/>
      </w:tblPr>
      <w:tblGrid>
        <w:gridCol w:w="508"/>
        <w:gridCol w:w="8538"/>
        <w:gridCol w:w="908"/>
        <w:gridCol w:w="892"/>
        <w:gridCol w:w="908"/>
        <w:gridCol w:w="1800"/>
        <w:gridCol w:w="723"/>
        <w:gridCol w:w="1124"/>
      </w:tblGrid>
      <w:tr>
        <w:trPr/>
        <w:tc>
          <w:tcPr>
            <w:tcW w:w="508" w:type="dxa"/>
            <w:vMerge w:val="restart"/>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w:t>
            </w:r>
          </w:p>
        </w:tc>
        <w:tc>
          <w:tcPr>
            <w:tcW w:w="8538" w:type="dxa"/>
            <w:vMerge w:val="restart"/>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Т е м а  з а н я т т я</w:t>
            </w:r>
          </w:p>
        </w:tc>
        <w:tc>
          <w:tcPr>
            <w:tcW w:w="9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r>
          </w:p>
        </w:tc>
        <w:tc>
          <w:tcPr>
            <w:tcW w:w="1800" w:type="dxa"/>
            <w:gridSpan w:val="2"/>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Дати</w:t>
            </w:r>
          </w:p>
        </w:tc>
        <w:tc>
          <w:tcPr>
            <w:tcW w:w="1800" w:type="dxa"/>
            <w:vMerge w:val="restart"/>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0"/>
                <w:szCs w:val="20"/>
                <w:lang w:val="uk-UA" w:eastAsia="ru-RU" w:bidi="ar-SA"/>
              </w:rPr>
              <w:t>Хто проводить</w:t>
            </w:r>
          </w:p>
        </w:tc>
        <w:tc>
          <w:tcPr>
            <w:tcW w:w="723" w:type="dxa"/>
            <w:vMerge w:val="restart"/>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t>Обладнання</w:t>
            </w:r>
          </w:p>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0"/>
                <w:szCs w:val="20"/>
                <w:lang w:val="uk-UA" w:eastAsia="ru-RU" w:bidi="ar-SA"/>
              </w:rPr>
              <w:t>заняття</w:t>
            </w:r>
          </w:p>
        </w:tc>
        <w:tc>
          <w:tcPr>
            <w:tcW w:w="1124" w:type="dxa"/>
            <w:vMerge w:val="restart"/>
            <w:tcBorders/>
          </w:tcPr>
          <w:p>
            <w:pPr>
              <w:pStyle w:val="Normal"/>
              <w:widowControl/>
              <w:spacing w:lineRule="auto" w:line="240" w:before="0" w:after="0"/>
              <w:jc w:val="left"/>
              <w:rPr>
                <w:rFonts w:ascii="Times New Roman" w:hAnsi="Times New Roman"/>
                <w:sz w:val="20"/>
                <w:szCs w:val="20"/>
                <w:lang w:val="uk-UA"/>
              </w:rPr>
            </w:pPr>
            <w:r>
              <w:rPr>
                <w:rFonts w:eastAsia="" w:cs="" w:ascii="Times New Roman" w:hAnsi="Times New Roman"/>
                <w:kern w:val="0"/>
                <w:sz w:val="20"/>
                <w:szCs w:val="20"/>
                <w:lang w:val="uk-UA" w:eastAsia="ru-RU" w:bidi="ar-SA"/>
              </w:rPr>
              <w:t>Місце про-</w:t>
            </w:r>
          </w:p>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0"/>
                <w:szCs w:val="20"/>
                <w:lang w:val="uk-UA" w:eastAsia="ru-RU" w:bidi="ar-SA"/>
              </w:rPr>
              <w:t>ведення</w:t>
            </w:r>
          </w:p>
        </w:tc>
      </w:tr>
      <w:tr>
        <w:trPr/>
        <w:tc>
          <w:tcPr>
            <w:tcW w:w="508" w:type="dxa"/>
            <w:vMerge w:val="continue"/>
            <w:tcBorders/>
            <w:vAlign w:val="center"/>
          </w:tcPr>
          <w:p>
            <w:pPr>
              <w:pStyle w:val="Normal"/>
              <w:widowControl/>
              <w:spacing w:lineRule="auto" w:line="240" w:before="0" w:after="0"/>
              <w:jc w:val="left"/>
              <w:rPr>
                <w:rFonts w:ascii="Times New Roman" w:hAnsi="Times New Roman"/>
                <w:sz w:val="24"/>
                <w:szCs w:val="24"/>
                <w:lang w:val="uk-UA"/>
              </w:rPr>
            </w:pPr>
            <w:r>
              <w:rPr>
                <w:rFonts w:eastAsia="" w:cs="" w:ascii="Times New Roman" w:hAnsi="Times New Roman"/>
                <w:kern w:val="0"/>
                <w:sz w:val="24"/>
                <w:szCs w:val="24"/>
                <w:lang w:val="uk-UA" w:eastAsia="ru-RU" w:bidi="ar-SA"/>
              </w:rPr>
            </w:r>
          </w:p>
        </w:tc>
        <w:tc>
          <w:tcPr>
            <w:tcW w:w="8538" w:type="dxa"/>
            <w:vMerge w:val="continue"/>
            <w:tcBorders/>
            <w:vAlign w:val="center"/>
          </w:tcPr>
          <w:p>
            <w:pPr>
              <w:pStyle w:val="Normal"/>
              <w:widowControl/>
              <w:spacing w:lineRule="auto" w:line="240" w:before="0" w:after="0"/>
              <w:jc w:val="left"/>
              <w:rPr>
                <w:rFonts w:ascii="Times New Roman" w:hAnsi="Times New Roman"/>
                <w:sz w:val="24"/>
                <w:szCs w:val="24"/>
                <w:lang w:val="uk-UA"/>
              </w:rPr>
            </w:pPr>
            <w:r>
              <w:rPr>
                <w:rFonts w:eastAsia="" w:cs="" w:ascii="Times New Roman" w:hAnsi="Times New Roman"/>
                <w:kern w:val="0"/>
                <w:sz w:val="24"/>
                <w:szCs w:val="24"/>
                <w:lang w:val="uk-UA" w:eastAsia="ru-RU" w:bidi="ar-SA"/>
              </w:rPr>
            </w:r>
          </w:p>
        </w:tc>
        <w:tc>
          <w:tcPr>
            <w:tcW w:w="9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 гр</w:t>
            </w:r>
          </w:p>
        </w:tc>
        <w:tc>
          <w:tcPr>
            <w:tcW w:w="892"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2 гр</w:t>
            </w:r>
          </w:p>
        </w:tc>
        <w:tc>
          <w:tcPr>
            <w:tcW w:w="9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3 гр</w:t>
            </w:r>
          </w:p>
        </w:tc>
        <w:tc>
          <w:tcPr>
            <w:tcW w:w="1800" w:type="dxa"/>
            <w:vMerge w:val="continue"/>
            <w:tcBorders/>
            <w:vAlign w:val="center"/>
          </w:tcPr>
          <w:p>
            <w:pPr>
              <w:pStyle w:val="Normal"/>
              <w:widowControl/>
              <w:spacing w:lineRule="auto" w:line="240" w:before="0" w:after="0"/>
              <w:jc w:val="left"/>
              <w:rPr>
                <w:rFonts w:ascii="Times New Roman" w:hAnsi="Times New Roman"/>
                <w:sz w:val="24"/>
                <w:szCs w:val="24"/>
                <w:lang w:val="uk-UA"/>
              </w:rPr>
            </w:pPr>
            <w:r>
              <w:rPr>
                <w:rFonts w:eastAsia="" w:cs="" w:ascii="Times New Roman" w:hAnsi="Times New Roman"/>
                <w:kern w:val="0"/>
                <w:sz w:val="24"/>
                <w:szCs w:val="24"/>
                <w:lang w:val="uk-UA" w:eastAsia="ru-RU" w:bidi="ar-SA"/>
              </w:rPr>
            </w:r>
          </w:p>
        </w:tc>
        <w:tc>
          <w:tcPr>
            <w:tcW w:w="723" w:type="dxa"/>
            <w:vMerge w:val="continue"/>
            <w:tcBorders/>
            <w:vAlign w:val="center"/>
          </w:tcPr>
          <w:p>
            <w:pPr>
              <w:pStyle w:val="Normal"/>
              <w:widowControl/>
              <w:spacing w:lineRule="auto" w:line="240" w:before="0" w:after="0"/>
              <w:jc w:val="left"/>
              <w:rPr>
                <w:rFonts w:ascii="Times New Roman" w:hAnsi="Times New Roman"/>
                <w:sz w:val="24"/>
                <w:szCs w:val="24"/>
                <w:lang w:val="uk-UA"/>
              </w:rPr>
            </w:pPr>
            <w:r>
              <w:rPr>
                <w:rFonts w:eastAsia="" w:cs="" w:ascii="Times New Roman" w:hAnsi="Times New Roman"/>
                <w:kern w:val="0"/>
                <w:sz w:val="24"/>
                <w:szCs w:val="24"/>
                <w:lang w:val="uk-UA" w:eastAsia="ru-RU" w:bidi="ar-SA"/>
              </w:rPr>
            </w:r>
          </w:p>
        </w:tc>
        <w:tc>
          <w:tcPr>
            <w:tcW w:w="1124" w:type="dxa"/>
            <w:vMerge w:val="continue"/>
            <w:tcBorders/>
            <w:vAlign w:val="center"/>
          </w:tcPr>
          <w:p>
            <w:pPr>
              <w:pStyle w:val="Normal"/>
              <w:widowControl/>
              <w:spacing w:lineRule="auto" w:line="240" w:before="0" w:after="0"/>
              <w:jc w:val="left"/>
              <w:rPr>
                <w:rFonts w:ascii="Times New Roman" w:hAnsi="Times New Roman"/>
                <w:sz w:val="24"/>
                <w:szCs w:val="24"/>
                <w:lang w:val="uk-UA"/>
              </w:rPr>
            </w:pPr>
            <w:r>
              <w:rPr>
                <w:rFonts w:eastAsia="" w:cs="" w:ascii="Times New Roman" w:hAnsi="Times New Roman"/>
                <w:kern w:val="0"/>
                <w:sz w:val="24"/>
                <w:szCs w:val="24"/>
                <w:lang w:val="uk-UA" w:eastAsia="ru-RU" w:bidi="ar-SA"/>
              </w:rPr>
            </w:r>
          </w:p>
        </w:tc>
      </w:tr>
      <w:tr>
        <w:trPr/>
        <w:tc>
          <w:tcPr>
            <w:tcW w:w="5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w:t>
            </w:r>
          </w:p>
        </w:tc>
        <w:tc>
          <w:tcPr>
            <w:tcW w:w="8538" w:type="dxa"/>
            <w:tcBorders/>
          </w:tcPr>
          <w:p>
            <w:pPr>
              <w:pStyle w:val="Normal"/>
              <w:widowControl/>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uk-UA" w:eastAsia="ru-RU" w:bidi="ar-SA"/>
              </w:rPr>
              <w:t xml:space="preserve">Класифікація пухлин, етіологія, патогенез, закономірності росту і розвитку доброякісних та злоякісних пухлин, принципи їх диференціальної діагностики та лікування. Статистика, організація допомоги, диспансерізація. Деонтологія спілкування  з хворими на пухлини ЩЛД. </w:t>
            </w:r>
          </w:p>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 xml:space="preserve"> </w:t>
            </w:r>
            <w:r>
              <w:rPr>
                <w:rFonts w:eastAsia="" w:cs="Times New Roman" w:ascii="Times New Roman" w:hAnsi="Times New Roman"/>
                <w:kern w:val="0"/>
                <w:sz w:val="24"/>
                <w:szCs w:val="24"/>
                <w:lang w:val="uk-UA" w:eastAsia="ru-RU" w:bidi="ar-SA"/>
              </w:rPr>
              <w:t>Методи обстеження хворих, діагностики, дифдіагностики та лікування  одонтогенних кіст щелеп ( білякореневих, фолікулярних та парадентарних). Неодонтогенні кісти щелеп: фісуральні ( різцевого каналу, глобомаксилярні, назолабіальні), травматичні</w:t>
            </w:r>
          </w:p>
        </w:tc>
        <w:tc>
          <w:tcPr>
            <w:tcW w:w="9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7.10</w:t>
            </w:r>
          </w:p>
        </w:tc>
        <w:tc>
          <w:tcPr>
            <w:tcW w:w="892"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29.10</w:t>
            </w:r>
          </w:p>
        </w:tc>
        <w:tc>
          <w:tcPr>
            <w:tcW w:w="9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12.11</w:t>
            </w:r>
          </w:p>
        </w:tc>
        <w:tc>
          <w:tcPr>
            <w:tcW w:w="1800" w:type="dxa"/>
            <w:tcBorders/>
          </w:tcPr>
          <w:p>
            <w:pPr>
              <w:pStyle w:val="Normal"/>
              <w:widowControl/>
              <w:bidi w:val="0"/>
              <w:spacing w:lineRule="auto" w:line="240" w:before="0" w:after="0"/>
              <w:ind w:hanging="0" w:left="0" w:right="0"/>
              <w:jc w:val="left"/>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t>д</w:t>
            </w:r>
            <w:r>
              <w:rPr>
                <w:rFonts w:eastAsia="" w:cs="Times New Roman" w:ascii="Times New Roman" w:hAnsi="Times New Roman"/>
                <w:kern w:val="0"/>
                <w:sz w:val="20"/>
                <w:szCs w:val="20"/>
                <w:lang w:val="uk-UA" w:eastAsia="ru-RU" w:bidi="ar-SA"/>
              </w:rPr>
              <w:t>оц.Крикляс В.Г.</w:t>
            </w:r>
          </w:p>
          <w:p>
            <w:pPr>
              <w:pStyle w:val="Normal"/>
              <w:widowControl/>
              <w:bidi w:val="0"/>
              <w:spacing w:lineRule="auto" w:line="240" w:before="0" w:after="0"/>
              <w:ind w:hanging="0" w:left="0" w:right="0"/>
              <w:jc w:val="left"/>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t>ас. Тащян А.Е</w:t>
            </w:r>
          </w:p>
          <w:p>
            <w:pPr>
              <w:pStyle w:val="Normal"/>
              <w:widowControl/>
              <w:spacing w:lineRule="auto" w:line="240" w:before="0" w:after="0"/>
              <w:jc w:val="left"/>
              <w:rPr>
                <w:rFonts w:ascii="Times New Roman" w:hAnsi="Times New Roman"/>
                <w:sz w:val="20"/>
                <w:szCs w:val="20"/>
                <w:lang w:val="uk-UA"/>
              </w:rPr>
            </w:pPr>
            <w:r>
              <w:rPr>
                <w:rFonts w:eastAsia="" w:cs="Times New Roman" w:ascii="Times New Roman" w:hAnsi="Times New Roman"/>
                <w:kern w:val="0"/>
                <w:sz w:val="20"/>
                <w:szCs w:val="20"/>
                <w:lang w:val="uk-UA" w:eastAsia="ru-RU" w:bidi="ar-SA"/>
              </w:rPr>
              <w:t>д</w:t>
            </w:r>
            <w:r>
              <w:rPr>
                <w:rFonts w:eastAsia="" w:cs="Times New Roman" w:ascii="Times New Roman" w:hAnsi="Times New Roman"/>
                <w:kern w:val="0"/>
                <w:sz w:val="20"/>
                <w:szCs w:val="20"/>
                <w:lang w:val="uk-UA" w:eastAsia="ru-RU" w:bidi="ar-SA"/>
              </w:rPr>
              <w:t xml:space="preserve">оц.Пасечник О.В. </w:t>
            </w:r>
          </w:p>
          <w:p>
            <w:pPr>
              <w:pStyle w:val="Normal"/>
              <w:widowControl/>
              <w:spacing w:lineRule="auto" w:line="240" w:before="0" w:after="0"/>
              <w:jc w:val="left"/>
              <w:rPr>
                <w:rFonts w:ascii="Times New Roman" w:hAnsi="Times New Roman"/>
                <w:sz w:val="20"/>
                <w:szCs w:val="20"/>
                <w:lang w:val="uk-UA"/>
              </w:rPr>
            </w:pPr>
            <w:r>
              <w:rPr>
                <w:rFonts w:eastAsia="" w:cs="Times New Roman" w:ascii="Times New Roman" w:hAnsi="Times New Roman"/>
                <w:kern w:val="0"/>
                <w:sz w:val="20"/>
                <w:szCs w:val="20"/>
                <w:lang w:val="uk-UA" w:eastAsia="ru-RU" w:bidi="ar-SA"/>
              </w:rPr>
              <w:t>до</w:t>
            </w:r>
            <w:r>
              <w:rPr>
                <w:rFonts w:eastAsia="" w:cs="Times New Roman" w:ascii="Times New Roman" w:hAnsi="Times New Roman"/>
                <w:kern w:val="0"/>
                <w:sz w:val="20"/>
                <w:szCs w:val="20"/>
                <w:lang w:val="uk-UA" w:eastAsia="ru-RU" w:bidi="ar-SA"/>
              </w:rPr>
              <w:t xml:space="preserve">ц </w:t>
            </w:r>
            <w:r>
              <w:rPr>
                <w:rFonts w:eastAsia="" w:cs="Times New Roman" w:ascii="Times New Roman" w:hAnsi="Times New Roman"/>
                <w:kern w:val="0"/>
                <w:sz w:val="20"/>
                <w:szCs w:val="20"/>
                <w:lang w:val="uk-UA" w:eastAsia="ru-RU" w:bidi="ar-SA"/>
              </w:rPr>
              <w:t>Лунгу В.</w:t>
            </w:r>
            <w:r>
              <w:rPr>
                <w:rFonts w:eastAsia="" w:cs="Times New Roman" w:ascii="Times New Roman" w:hAnsi="Times New Roman"/>
                <w:kern w:val="0"/>
                <w:sz w:val="20"/>
                <w:szCs w:val="20"/>
                <w:lang w:val="uk-UA" w:eastAsia="ru-RU" w:bidi="ar-SA"/>
              </w:rPr>
              <w:t>І</w:t>
            </w:r>
          </w:p>
        </w:tc>
        <w:tc>
          <w:tcPr>
            <w:tcW w:w="723"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0"/>
                <w:szCs w:val="20"/>
                <w:lang w:val="uk-UA" w:eastAsia="ru-RU" w:bidi="ar-SA"/>
              </w:rPr>
              <w:t>Інструментарій</w:t>
            </w:r>
          </w:p>
        </w:tc>
        <w:tc>
          <w:tcPr>
            <w:tcW w:w="1124"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t>Навчальний центр, вул.</w:t>
            </w:r>
          </w:p>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t>Пішо-нівська 1</w:t>
            </w:r>
          </w:p>
        </w:tc>
      </w:tr>
      <w:tr>
        <w:trPr/>
        <w:tc>
          <w:tcPr>
            <w:tcW w:w="5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2</w:t>
            </w:r>
          </w:p>
        </w:tc>
        <w:tc>
          <w:tcPr>
            <w:tcW w:w="8538" w:type="dxa"/>
            <w:tcBorders/>
          </w:tcPr>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Методи обстеження хворих, діагностики, дифдіагностика та лікування  амелобластом. Післяопераційне лікування та догляд. Методи обстеження хворих, діагностики, дифдіагностика та лікування  одонтом і цементом . Післяопераційне лікування та догляд. Методи обстеження хворих, діагностики, дифдіагностика та лікування  епулідів . Можливі ускладнення, їх профілактика та лікування.</w:t>
            </w:r>
          </w:p>
        </w:tc>
        <w:tc>
          <w:tcPr>
            <w:tcW w:w="9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8.10</w:t>
            </w:r>
          </w:p>
        </w:tc>
        <w:tc>
          <w:tcPr>
            <w:tcW w:w="892"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30.10</w:t>
            </w:r>
          </w:p>
        </w:tc>
        <w:tc>
          <w:tcPr>
            <w:tcW w:w="9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w:t>
            </w:r>
            <w:r>
              <w:rPr>
                <w:rFonts w:eastAsia="" w:cs="" w:ascii="Times New Roman" w:hAnsi="Times New Roman"/>
                <w:kern w:val="0"/>
                <w:sz w:val="24"/>
                <w:szCs w:val="24"/>
                <w:lang w:val="uk-UA" w:eastAsia="ru-RU" w:bidi="ar-SA"/>
              </w:rPr>
              <w:t>3</w:t>
            </w:r>
            <w:r>
              <w:rPr>
                <w:rFonts w:eastAsia="" w:cs="" w:ascii="Times New Roman" w:hAnsi="Times New Roman"/>
                <w:kern w:val="0"/>
                <w:sz w:val="24"/>
                <w:szCs w:val="24"/>
                <w:lang w:val="uk-UA" w:eastAsia="ru-RU" w:bidi="ar-SA"/>
              </w:rPr>
              <w:t>.11</w:t>
            </w:r>
          </w:p>
        </w:tc>
        <w:tc>
          <w:tcPr>
            <w:tcW w:w="1800" w:type="dxa"/>
            <w:tcBorders/>
          </w:tcPr>
          <w:p>
            <w:pPr>
              <w:pStyle w:val="Normal"/>
              <w:widowControl/>
              <w:spacing w:lineRule="auto" w:line="240" w:before="0" w:after="0"/>
              <w:jc w:val="center"/>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r>
          </w:p>
        </w:tc>
        <w:tc>
          <w:tcPr>
            <w:tcW w:w="723"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c>
          <w:tcPr>
            <w:tcW w:w="1124"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r>
      <w:tr>
        <w:trPr/>
        <w:tc>
          <w:tcPr>
            <w:tcW w:w="5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3</w:t>
            </w:r>
          </w:p>
        </w:tc>
        <w:tc>
          <w:tcPr>
            <w:tcW w:w="8538" w:type="dxa"/>
            <w:tcBorders/>
          </w:tcPr>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 xml:space="preserve">Методи обстеження хворих, діагностики  дифдіагностика та лікування остеобластокластом. Післяопераційне лікування та догляд. </w:t>
            </w:r>
          </w:p>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Методи обстеження хворих, діагностика, дифдіагностика фіброзної дистрофії, хвороби  Реклінгаузена ( паратіреоїдна остеодістрофія , хвороба Педжета), фіброзної дисплязії щелеп. Вибір метода лікування в залежності від форми,  локалізації захворювання.</w:t>
            </w:r>
          </w:p>
        </w:tc>
        <w:tc>
          <w:tcPr>
            <w:tcW w:w="9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9,10</w:t>
            </w:r>
          </w:p>
        </w:tc>
        <w:tc>
          <w:tcPr>
            <w:tcW w:w="892"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31,10</w:t>
            </w:r>
          </w:p>
        </w:tc>
        <w:tc>
          <w:tcPr>
            <w:tcW w:w="9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14,11</w:t>
            </w:r>
          </w:p>
        </w:tc>
        <w:tc>
          <w:tcPr>
            <w:tcW w:w="1800" w:type="dxa"/>
            <w:tcBorders/>
          </w:tcPr>
          <w:p>
            <w:pPr>
              <w:pStyle w:val="Normal"/>
              <w:widowControl/>
              <w:spacing w:lineRule="auto" w:line="240" w:before="0" w:after="0"/>
              <w:jc w:val="center"/>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r>
          </w:p>
        </w:tc>
        <w:tc>
          <w:tcPr>
            <w:tcW w:w="723"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c>
          <w:tcPr>
            <w:tcW w:w="1124"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r>
      <w:tr>
        <w:trPr/>
        <w:tc>
          <w:tcPr>
            <w:tcW w:w="5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4</w:t>
            </w:r>
          </w:p>
        </w:tc>
        <w:tc>
          <w:tcPr>
            <w:tcW w:w="8538" w:type="dxa"/>
            <w:tcBorders/>
          </w:tcPr>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Методи обстеження хворих, діагностики, диференційної діагностики гемангіом щелепно-лицевої ділянки . Принципи лікування .</w:t>
            </w:r>
          </w:p>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Методи обстеження хворих, діагностики, диференційної діагностики лімфагіом щелепно-лицевої ділянки . Принципи лікування .</w:t>
            </w:r>
          </w:p>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 xml:space="preserve">Методи обстеження хворих з доброякісними новотворами щелепно-лицевої ділянки (фіброми, нейрофіброми, папіломи, атероми, </w:t>
            </w:r>
          </w:p>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 xml:space="preserve">остеоми, хондроми). Їх діагностика та лікування . </w:t>
            </w:r>
          </w:p>
        </w:tc>
        <w:tc>
          <w:tcPr>
            <w:tcW w:w="9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10,10</w:t>
            </w:r>
          </w:p>
        </w:tc>
        <w:tc>
          <w:tcPr>
            <w:tcW w:w="892"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3,11</w:t>
            </w:r>
          </w:p>
        </w:tc>
        <w:tc>
          <w:tcPr>
            <w:tcW w:w="9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17,11</w:t>
            </w:r>
          </w:p>
        </w:tc>
        <w:tc>
          <w:tcPr>
            <w:tcW w:w="1800" w:type="dxa"/>
            <w:tcBorders/>
          </w:tcPr>
          <w:p>
            <w:pPr>
              <w:pStyle w:val="Normal"/>
              <w:widowControl/>
              <w:spacing w:lineRule="auto" w:line="240" w:before="0" w:after="0"/>
              <w:jc w:val="center"/>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r>
          </w:p>
        </w:tc>
        <w:tc>
          <w:tcPr>
            <w:tcW w:w="723"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c>
          <w:tcPr>
            <w:tcW w:w="1124"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r>
      <w:tr>
        <w:trPr/>
        <w:tc>
          <w:tcPr>
            <w:tcW w:w="5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5</w:t>
            </w:r>
          </w:p>
        </w:tc>
        <w:tc>
          <w:tcPr>
            <w:tcW w:w="8538" w:type="dxa"/>
            <w:tcBorders/>
          </w:tcPr>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Дермоїдні та  епідермоїдні кісти  щелепно-лицевої ділянки  щелепно-лицевої ділянки Клініка, методи обстеження хворих, діагностики , принципи  лікування.</w:t>
            </w:r>
          </w:p>
          <w:p>
            <w:pPr>
              <w:pStyle w:val="Normal"/>
              <w:widowControl/>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uk-UA" w:eastAsia="ru-RU" w:bidi="ar-SA"/>
              </w:rPr>
              <w:t xml:space="preserve">Методи обстеження хворих, діагностики та лікування ретенційних кіст, губ, щік. </w:t>
            </w:r>
          </w:p>
          <w:p>
            <w:pPr>
              <w:pStyle w:val="Normal"/>
              <w:widowControl/>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uk-UA" w:eastAsia="ru-RU" w:bidi="ar-SA"/>
              </w:rPr>
              <w:t xml:space="preserve">Методи обстеження хворих, діагностики та лікування  кіст слинних  залоз ( ранули). </w:t>
            </w:r>
          </w:p>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 xml:space="preserve">Серединні та бокові   кісти і фістули щелепно-лицевої ділянки Клініка, методи обстеження хворих, діагностики , принципи  лікування  </w:t>
            </w:r>
          </w:p>
        </w:tc>
        <w:tc>
          <w:tcPr>
            <w:tcW w:w="9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13,10</w:t>
            </w:r>
          </w:p>
        </w:tc>
        <w:tc>
          <w:tcPr>
            <w:tcW w:w="892"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4,11</w:t>
            </w:r>
          </w:p>
        </w:tc>
        <w:tc>
          <w:tcPr>
            <w:tcW w:w="9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18,11</w:t>
            </w:r>
          </w:p>
        </w:tc>
        <w:tc>
          <w:tcPr>
            <w:tcW w:w="1800" w:type="dxa"/>
            <w:tcBorders/>
          </w:tcPr>
          <w:p>
            <w:pPr>
              <w:pStyle w:val="Normal"/>
              <w:widowControl/>
              <w:spacing w:lineRule="auto" w:line="240" w:before="0" w:after="0"/>
              <w:jc w:val="center"/>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r>
          </w:p>
        </w:tc>
        <w:tc>
          <w:tcPr>
            <w:tcW w:w="723"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c>
          <w:tcPr>
            <w:tcW w:w="1124"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r>
      <w:tr>
        <w:trPr/>
        <w:tc>
          <w:tcPr>
            <w:tcW w:w="5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6</w:t>
            </w:r>
          </w:p>
        </w:tc>
        <w:tc>
          <w:tcPr>
            <w:tcW w:w="8538" w:type="dxa"/>
            <w:tcBorders/>
          </w:tcPr>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 xml:space="preserve">Передрак. Класифікація передракових змін червоної кайми губ і слизової оболонки порожнини рота. Фактори, що зумовлюють схильність до розвитку передракових змін червоної кайми губ і слизової оболонки порожнини рота.Лейкоплакія. Клініка, діагностика, принципи лікування. Папіломи. Клініка, діагностика, принципи лікування. </w:t>
            </w:r>
          </w:p>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Абразивний преканцерозний хейліт Манганотті. Клініка, діагностика, принципи лікування.</w:t>
            </w:r>
          </w:p>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Бородавчатий (вузликовий) передрак червоної кайми губ. Клініка, діагностика, принципи лікування</w:t>
            </w:r>
          </w:p>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 xml:space="preserve">Хвороба Боуена, ерітроплазія Кейра. Клініка, діагностика, принципи лікування. </w:t>
            </w:r>
          </w:p>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Шкірний ріг, кератоакантоми. Клініка, діагностика, принципи лікування. Хронічні виразки, тріщини губ, метеорологічний хейліт, хронічна червона вовчанка, туберкульозна вовчанка, червоний плаский лишай. Клініка, діагностика, принципи лікування. Методи обстеження хворих, діагностики, диференційної діагностики базаліом, меланом, рака шкіри обличчя. Методи лікування.</w:t>
            </w:r>
          </w:p>
        </w:tc>
        <w:tc>
          <w:tcPr>
            <w:tcW w:w="9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14,10</w:t>
            </w:r>
          </w:p>
        </w:tc>
        <w:tc>
          <w:tcPr>
            <w:tcW w:w="892"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5,11</w:t>
            </w:r>
          </w:p>
        </w:tc>
        <w:tc>
          <w:tcPr>
            <w:tcW w:w="9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19,11</w:t>
            </w:r>
          </w:p>
        </w:tc>
        <w:tc>
          <w:tcPr>
            <w:tcW w:w="1800" w:type="dxa"/>
            <w:tcBorders/>
          </w:tcPr>
          <w:p>
            <w:pPr>
              <w:pStyle w:val="Normal"/>
              <w:widowControl/>
              <w:spacing w:lineRule="auto" w:line="240" w:before="0" w:after="0"/>
              <w:jc w:val="center"/>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r>
          </w:p>
        </w:tc>
        <w:tc>
          <w:tcPr>
            <w:tcW w:w="723"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c>
          <w:tcPr>
            <w:tcW w:w="1124"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r>
      <w:tr>
        <w:trPr/>
        <w:tc>
          <w:tcPr>
            <w:tcW w:w="5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7</w:t>
            </w:r>
          </w:p>
        </w:tc>
        <w:tc>
          <w:tcPr>
            <w:tcW w:w="8538" w:type="dxa"/>
            <w:tcBorders/>
          </w:tcPr>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Методи обстеження хворих, діагностики, диференційної діагностики рака губи. Методи радикального лікування.</w:t>
            </w:r>
            <w:r>
              <w:rPr>
                <w:rFonts w:eastAsia="" w:cs="Times New Roman" w:ascii="Times New Roman" w:hAnsi="Times New Roman"/>
                <w:kern w:val="0"/>
                <w:sz w:val="24"/>
                <w:szCs w:val="24"/>
                <w:lang w:val="ru-RU" w:eastAsia="ru-RU" w:bidi="ar-SA"/>
              </w:rPr>
              <w:t xml:space="preserve"> </w:t>
            </w:r>
            <w:r>
              <w:rPr>
                <w:rFonts w:eastAsia="" w:cs="Times New Roman" w:ascii="Times New Roman" w:hAnsi="Times New Roman"/>
                <w:kern w:val="0"/>
                <w:sz w:val="24"/>
                <w:szCs w:val="24"/>
                <w:lang w:val="uk-UA" w:eastAsia="ru-RU" w:bidi="ar-SA"/>
              </w:rPr>
              <w:t>Методи обстеження хворих, діагностики, диференційної діагностики рака язика і слизової оболонки порожнини рота. Методи радикального лікування.</w:t>
            </w:r>
          </w:p>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Методи обстеження хворих, діагностики, диференційної діагностики злоякісних новотворів  верхньої щелепи. Методи радикального лікування.</w:t>
            </w:r>
          </w:p>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Методи обстеження хворих, діагностики, диференційної діагностики злоякісних новотворів нижньої щелепи. Методи радикального лікування. Резекція  та екзартикуляція нижньої щелепи. Післяопераційне лікування, догляд, годування</w:t>
            </w:r>
          </w:p>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r>
          </w:p>
        </w:tc>
        <w:tc>
          <w:tcPr>
            <w:tcW w:w="9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15,10</w:t>
            </w:r>
          </w:p>
        </w:tc>
        <w:tc>
          <w:tcPr>
            <w:tcW w:w="892"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6,10</w:t>
            </w:r>
          </w:p>
        </w:tc>
        <w:tc>
          <w:tcPr>
            <w:tcW w:w="9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20,11</w:t>
            </w:r>
          </w:p>
        </w:tc>
        <w:tc>
          <w:tcPr>
            <w:tcW w:w="1800" w:type="dxa"/>
            <w:tcBorders/>
          </w:tcPr>
          <w:p>
            <w:pPr>
              <w:pStyle w:val="Normal"/>
              <w:widowControl/>
              <w:spacing w:lineRule="auto" w:line="240" w:before="0" w:after="0"/>
              <w:jc w:val="center"/>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r>
          </w:p>
        </w:tc>
        <w:tc>
          <w:tcPr>
            <w:tcW w:w="723"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c>
          <w:tcPr>
            <w:tcW w:w="1124"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r>
      <w:tr>
        <w:trPr/>
        <w:tc>
          <w:tcPr>
            <w:tcW w:w="508" w:type="dxa"/>
            <w:tcBorders>
              <w:top w:val="nil"/>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r>
          </w:p>
        </w:tc>
        <w:tc>
          <w:tcPr>
            <w:tcW w:w="8538" w:type="dxa"/>
            <w:tcBorders>
              <w:top w:val="nil"/>
            </w:tcBorders>
          </w:tcPr>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r>
          </w:p>
        </w:tc>
        <w:tc>
          <w:tcPr>
            <w:tcW w:w="908" w:type="dxa"/>
            <w:tcBorders>
              <w:top w:val="nil"/>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 гр</w:t>
            </w:r>
          </w:p>
        </w:tc>
        <w:tc>
          <w:tcPr>
            <w:tcW w:w="892" w:type="dxa"/>
            <w:tcBorders>
              <w:top w:val="nil"/>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2</w:t>
            </w:r>
            <w:r>
              <w:rPr>
                <w:rFonts w:eastAsia="" w:cs="" w:ascii="Times New Roman" w:hAnsi="Times New Roman"/>
                <w:kern w:val="0"/>
                <w:sz w:val="24"/>
                <w:szCs w:val="24"/>
                <w:lang w:val="en-US" w:eastAsia="ru-RU" w:bidi="ar-SA"/>
              </w:rPr>
              <w:t xml:space="preserve"> </w:t>
            </w:r>
            <w:r>
              <w:rPr>
                <w:rFonts w:eastAsia="" w:cs="" w:ascii="Times New Roman" w:hAnsi="Times New Roman"/>
                <w:kern w:val="0"/>
                <w:sz w:val="24"/>
                <w:szCs w:val="24"/>
                <w:lang w:val="uk-UA" w:eastAsia="ru-RU" w:bidi="ar-SA"/>
              </w:rPr>
              <w:t>гр</w:t>
            </w:r>
          </w:p>
        </w:tc>
        <w:tc>
          <w:tcPr>
            <w:tcW w:w="908" w:type="dxa"/>
            <w:tcBorders>
              <w:top w:val="nil"/>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3гр</w:t>
            </w:r>
          </w:p>
        </w:tc>
        <w:tc>
          <w:tcPr>
            <w:tcW w:w="1800" w:type="dxa"/>
            <w:tcBorders>
              <w:top w:val="nil"/>
            </w:tcBorders>
          </w:tcPr>
          <w:p>
            <w:pPr>
              <w:pStyle w:val="Normal"/>
              <w:widowControl/>
              <w:spacing w:lineRule="auto" w:line="240" w:before="0" w:after="0"/>
              <w:jc w:val="center"/>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r>
          </w:p>
        </w:tc>
        <w:tc>
          <w:tcPr>
            <w:tcW w:w="723" w:type="dxa"/>
            <w:tcBorders>
              <w:top w:val="nil"/>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c>
          <w:tcPr>
            <w:tcW w:w="1124" w:type="dxa"/>
            <w:tcBorders>
              <w:top w:val="nil"/>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r>
      <w:tr>
        <w:trPr/>
        <w:tc>
          <w:tcPr>
            <w:tcW w:w="5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8</w:t>
            </w:r>
          </w:p>
        </w:tc>
        <w:tc>
          <w:tcPr>
            <w:tcW w:w="8538" w:type="dxa"/>
            <w:tcBorders/>
          </w:tcPr>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Методи проведення операції  на шляхах регіонарного метастазування (Ванаха, Крайля, футлярно-фасціального висікання). Післяопераційне лікування , догляд, годування.</w:t>
            </w:r>
          </w:p>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r>
          </w:p>
        </w:tc>
        <w:tc>
          <w:tcPr>
            <w:tcW w:w="9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r>
          </w:p>
        </w:tc>
        <w:tc>
          <w:tcPr>
            <w:tcW w:w="892"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r>
          </w:p>
        </w:tc>
        <w:tc>
          <w:tcPr>
            <w:tcW w:w="9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r>
          </w:p>
        </w:tc>
        <w:tc>
          <w:tcPr>
            <w:tcW w:w="1800" w:type="dxa"/>
            <w:tcBorders/>
          </w:tcPr>
          <w:p>
            <w:pPr>
              <w:pStyle w:val="Normal"/>
              <w:widowControl/>
              <w:spacing w:lineRule="auto" w:line="240" w:before="0" w:after="0"/>
              <w:jc w:val="center"/>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r>
          </w:p>
        </w:tc>
        <w:tc>
          <w:tcPr>
            <w:tcW w:w="723"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c>
          <w:tcPr>
            <w:tcW w:w="1124"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r>
      <w:tr>
        <w:trPr/>
        <w:tc>
          <w:tcPr>
            <w:tcW w:w="5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9</w:t>
            </w:r>
          </w:p>
        </w:tc>
        <w:tc>
          <w:tcPr>
            <w:tcW w:w="8538" w:type="dxa"/>
            <w:tcBorders/>
          </w:tcPr>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Методи обстеження хворих, діагностики, диференційної діагностика та лікування пухлин слинних залоз. Післяопераційні ускладнення, їх попередження та лікування.</w:t>
            </w:r>
          </w:p>
        </w:tc>
        <w:tc>
          <w:tcPr>
            <w:tcW w:w="9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r>
          </w:p>
        </w:tc>
        <w:tc>
          <w:tcPr>
            <w:tcW w:w="892"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r>
          </w:p>
        </w:tc>
        <w:tc>
          <w:tcPr>
            <w:tcW w:w="9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r>
          </w:p>
        </w:tc>
        <w:tc>
          <w:tcPr>
            <w:tcW w:w="1800" w:type="dxa"/>
            <w:tcBorders/>
          </w:tcPr>
          <w:p>
            <w:pPr>
              <w:pStyle w:val="Normal"/>
              <w:widowControl/>
              <w:spacing w:lineRule="auto" w:line="240" w:before="0" w:after="0"/>
              <w:jc w:val="center"/>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r>
          </w:p>
        </w:tc>
        <w:tc>
          <w:tcPr>
            <w:tcW w:w="723"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c>
          <w:tcPr>
            <w:tcW w:w="1124"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r>
      <w:tr>
        <w:trPr/>
        <w:tc>
          <w:tcPr>
            <w:tcW w:w="5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10</w:t>
            </w:r>
          </w:p>
        </w:tc>
        <w:tc>
          <w:tcPr>
            <w:tcW w:w="8538" w:type="dxa"/>
            <w:tcBorders/>
          </w:tcPr>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 xml:space="preserve">Види пов’язок. Методика накладання бинтових пов’язок. Міжщелепне лігатурне зв’язування при переломах щелеп. Показання, протипоказання, методика виготовлення  </w:t>
            </w:r>
          </w:p>
        </w:tc>
        <w:tc>
          <w:tcPr>
            <w:tcW w:w="908"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892"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908"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1800" w:type="dxa"/>
            <w:tcBorders/>
          </w:tcPr>
          <w:p>
            <w:pPr>
              <w:pStyle w:val="Normal"/>
              <w:widowControl/>
              <w:spacing w:lineRule="auto" w:line="240" w:before="0" w:after="0"/>
              <w:jc w:val="center"/>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r>
          </w:p>
        </w:tc>
        <w:tc>
          <w:tcPr>
            <w:tcW w:w="723"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c>
          <w:tcPr>
            <w:tcW w:w="1124"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r>
      <w:tr>
        <w:trPr/>
        <w:tc>
          <w:tcPr>
            <w:tcW w:w="5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11</w:t>
            </w:r>
          </w:p>
        </w:tc>
        <w:tc>
          <w:tcPr>
            <w:tcW w:w="8538" w:type="dxa"/>
            <w:tcBorders/>
          </w:tcPr>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Методика виготовлення та накладання однощелепної назубної гнутої дротяної шини–скоби. Показання та протипоказання до застосування</w:t>
            </w:r>
          </w:p>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Методика виготовлення та накладання одно щелепної назубної гнутої дротяної шини, шини з похилою площиною. Показання та протипоказання до застосування</w:t>
            </w:r>
          </w:p>
        </w:tc>
        <w:tc>
          <w:tcPr>
            <w:tcW w:w="908"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892"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908"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1800" w:type="dxa"/>
            <w:tcBorders/>
          </w:tcPr>
          <w:p>
            <w:pPr>
              <w:pStyle w:val="Normal"/>
              <w:widowControl/>
              <w:spacing w:lineRule="auto" w:line="240" w:before="0" w:after="0"/>
              <w:jc w:val="center"/>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r>
          </w:p>
        </w:tc>
        <w:tc>
          <w:tcPr>
            <w:tcW w:w="723"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c>
          <w:tcPr>
            <w:tcW w:w="1124"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r>
      <w:tr>
        <w:trPr/>
        <w:tc>
          <w:tcPr>
            <w:tcW w:w="5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12</w:t>
            </w:r>
          </w:p>
        </w:tc>
        <w:tc>
          <w:tcPr>
            <w:tcW w:w="8538" w:type="dxa"/>
            <w:tcBorders/>
          </w:tcPr>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Методика виготовлення та накладання двощелепної дротяної шини  з  зачіпними петлями і міжщелепним еластичним  витягуванням. Показання та протипоказання до застосування.</w:t>
            </w:r>
          </w:p>
        </w:tc>
        <w:tc>
          <w:tcPr>
            <w:tcW w:w="908"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892"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908"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1800" w:type="dxa"/>
            <w:tcBorders/>
          </w:tcPr>
          <w:p>
            <w:pPr>
              <w:pStyle w:val="Normal"/>
              <w:widowControl/>
              <w:spacing w:lineRule="auto" w:line="240" w:before="0" w:after="0"/>
              <w:jc w:val="center"/>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r>
          </w:p>
        </w:tc>
        <w:tc>
          <w:tcPr>
            <w:tcW w:w="723"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c>
          <w:tcPr>
            <w:tcW w:w="1124"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r>
      <w:tr>
        <w:trPr/>
        <w:tc>
          <w:tcPr>
            <w:tcW w:w="5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13</w:t>
            </w:r>
          </w:p>
        </w:tc>
        <w:tc>
          <w:tcPr>
            <w:tcW w:w="8538" w:type="dxa"/>
            <w:tcBorders/>
          </w:tcPr>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 xml:space="preserve">Остеосинтез. Показання і методи  остеосинтезу. Методи закріплення </w:t>
            </w:r>
          </w:p>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відламків лабораторно  виготовленими шинами</w:t>
            </w:r>
          </w:p>
        </w:tc>
        <w:tc>
          <w:tcPr>
            <w:tcW w:w="908"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892"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908"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1800" w:type="dxa"/>
            <w:tcBorders/>
          </w:tcPr>
          <w:p>
            <w:pPr>
              <w:pStyle w:val="Normal"/>
              <w:widowControl/>
              <w:spacing w:lineRule="auto" w:line="240" w:before="0" w:after="0"/>
              <w:jc w:val="center"/>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r>
          </w:p>
        </w:tc>
        <w:tc>
          <w:tcPr>
            <w:tcW w:w="723"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c>
          <w:tcPr>
            <w:tcW w:w="1124"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r>
      <w:tr>
        <w:trPr/>
        <w:tc>
          <w:tcPr>
            <w:tcW w:w="5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14</w:t>
            </w:r>
          </w:p>
        </w:tc>
        <w:tc>
          <w:tcPr>
            <w:tcW w:w="8538" w:type="dxa"/>
            <w:tcBorders/>
          </w:tcPr>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Методи обстеження хворих, клініка, діагностика, лікування переломів та вивихів зубів. Методи обстеження хворих, клініка, діагностика, лікування переломів альвеолярного відростка Методи обстеження хворих, класифікація, клініка, діагностика, лікування невогнестрільних  переломів нижньої щелепи.</w:t>
            </w:r>
          </w:p>
        </w:tc>
        <w:tc>
          <w:tcPr>
            <w:tcW w:w="908"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892"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r>
          </w:p>
        </w:tc>
        <w:tc>
          <w:tcPr>
            <w:tcW w:w="908"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1800" w:type="dxa"/>
            <w:tcBorders/>
          </w:tcPr>
          <w:p>
            <w:pPr>
              <w:pStyle w:val="Normal"/>
              <w:widowControl/>
              <w:spacing w:lineRule="auto" w:line="240" w:before="0" w:after="0"/>
              <w:jc w:val="center"/>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r>
          </w:p>
        </w:tc>
        <w:tc>
          <w:tcPr>
            <w:tcW w:w="723"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c>
          <w:tcPr>
            <w:tcW w:w="1124"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r>
      <w:tr>
        <w:trPr/>
        <w:tc>
          <w:tcPr>
            <w:tcW w:w="5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15</w:t>
            </w:r>
          </w:p>
        </w:tc>
        <w:tc>
          <w:tcPr>
            <w:tcW w:w="8538" w:type="dxa"/>
            <w:tcBorders/>
          </w:tcPr>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 xml:space="preserve"> </w:t>
            </w:r>
            <w:r>
              <w:rPr>
                <w:rFonts w:eastAsia="" w:cs="Times New Roman" w:ascii="Times New Roman" w:hAnsi="Times New Roman"/>
                <w:kern w:val="0"/>
                <w:sz w:val="24"/>
                <w:szCs w:val="24"/>
                <w:lang w:val="uk-UA" w:eastAsia="ru-RU" w:bidi="ar-SA"/>
              </w:rPr>
              <w:t xml:space="preserve">Методи обстеження хворих, класифікація, клініка, діагностика, лікування невогнепальних  переломів верхньої  щелепи . </w:t>
            </w:r>
          </w:p>
        </w:tc>
        <w:tc>
          <w:tcPr>
            <w:tcW w:w="908"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892"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908"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1800" w:type="dxa"/>
            <w:tcBorders/>
          </w:tcPr>
          <w:p>
            <w:pPr>
              <w:pStyle w:val="Normal"/>
              <w:widowControl/>
              <w:spacing w:lineRule="auto" w:line="240" w:before="0" w:after="0"/>
              <w:jc w:val="center"/>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r>
          </w:p>
        </w:tc>
        <w:tc>
          <w:tcPr>
            <w:tcW w:w="723"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c>
          <w:tcPr>
            <w:tcW w:w="1124"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r>
      <w:tr>
        <w:trPr/>
        <w:tc>
          <w:tcPr>
            <w:tcW w:w="5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16</w:t>
            </w:r>
          </w:p>
        </w:tc>
        <w:tc>
          <w:tcPr>
            <w:tcW w:w="8538" w:type="dxa"/>
            <w:tcBorders/>
          </w:tcPr>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Методи обстеження хворих, класифікація, клініка, діагностика, лікування  переломів носових  кісток . Методи обстеження хворих, класифікація, клініка, діагностика, лікування  переломів вилицевої дуги та  кістки .</w:t>
            </w:r>
          </w:p>
        </w:tc>
        <w:tc>
          <w:tcPr>
            <w:tcW w:w="908"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892"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908"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1800" w:type="dxa"/>
            <w:tcBorders/>
          </w:tcPr>
          <w:p>
            <w:pPr>
              <w:pStyle w:val="Normal"/>
              <w:widowControl/>
              <w:spacing w:lineRule="auto" w:line="240" w:before="0" w:after="0"/>
              <w:jc w:val="center"/>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r>
          </w:p>
        </w:tc>
        <w:tc>
          <w:tcPr>
            <w:tcW w:w="723"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c>
          <w:tcPr>
            <w:tcW w:w="1124"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r>
      <w:tr>
        <w:trPr/>
        <w:tc>
          <w:tcPr>
            <w:tcW w:w="5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17</w:t>
            </w:r>
          </w:p>
        </w:tc>
        <w:tc>
          <w:tcPr>
            <w:tcW w:w="8538" w:type="dxa"/>
            <w:tcBorders/>
          </w:tcPr>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 xml:space="preserve"> </w:t>
            </w:r>
            <w:r>
              <w:rPr>
                <w:rFonts w:eastAsia="" w:cs="Times New Roman" w:ascii="Times New Roman" w:hAnsi="Times New Roman"/>
                <w:kern w:val="0"/>
                <w:sz w:val="24"/>
                <w:szCs w:val="24"/>
                <w:lang w:val="uk-UA" w:eastAsia="ru-RU" w:bidi="ar-SA"/>
              </w:rPr>
              <w:t xml:space="preserve">Методи обстеження хворих, клініка, діагностика ізольованих не вогнепальних пошкоджень м”яких тканин щелепно-лицевої ділянки . </w:t>
            </w:r>
          </w:p>
        </w:tc>
        <w:tc>
          <w:tcPr>
            <w:tcW w:w="908"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892"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908"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1800" w:type="dxa"/>
            <w:tcBorders/>
          </w:tcPr>
          <w:p>
            <w:pPr>
              <w:pStyle w:val="Normal"/>
              <w:widowControl/>
              <w:spacing w:lineRule="auto" w:line="240" w:before="0" w:after="0"/>
              <w:jc w:val="center"/>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r>
          </w:p>
        </w:tc>
        <w:tc>
          <w:tcPr>
            <w:tcW w:w="723"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c>
          <w:tcPr>
            <w:tcW w:w="1124"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r>
      <w:tr>
        <w:trPr/>
        <w:tc>
          <w:tcPr>
            <w:tcW w:w="5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18</w:t>
            </w:r>
          </w:p>
        </w:tc>
        <w:tc>
          <w:tcPr>
            <w:tcW w:w="8538" w:type="dxa"/>
            <w:tcBorders/>
          </w:tcPr>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t>Принципи ПХО ран обличчя. Методика виконання. Відмінності ПХО рани в залежності від місця її розташування. Класифікація швів. Варіанти ПХО ран обличчя в залежності від строків її давності.</w:t>
            </w:r>
          </w:p>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r>
          </w:p>
        </w:tc>
        <w:tc>
          <w:tcPr>
            <w:tcW w:w="908"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892"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908"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1800" w:type="dxa"/>
            <w:tcBorders/>
          </w:tcPr>
          <w:p>
            <w:pPr>
              <w:pStyle w:val="Normal"/>
              <w:widowControl/>
              <w:spacing w:lineRule="auto" w:line="240" w:before="0" w:after="0"/>
              <w:jc w:val="center"/>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r>
          </w:p>
        </w:tc>
        <w:tc>
          <w:tcPr>
            <w:tcW w:w="723"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c>
          <w:tcPr>
            <w:tcW w:w="1124"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r>
      <w:tr>
        <w:trPr/>
        <w:tc>
          <w:tcPr>
            <w:tcW w:w="508" w:type="dxa"/>
            <w:tcBorders>
              <w:top w:val="nil"/>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r>
          </w:p>
        </w:tc>
        <w:tc>
          <w:tcPr>
            <w:tcW w:w="8538" w:type="dxa"/>
            <w:tcBorders>
              <w:top w:val="nil"/>
            </w:tcBorders>
          </w:tcPr>
          <w:p>
            <w:pPr>
              <w:pStyle w:val="Normal"/>
              <w:widowControl/>
              <w:spacing w:lineRule="auto" w:line="240" w:before="0" w:after="0"/>
              <w:jc w:val="left"/>
              <w:rPr>
                <w:rFonts w:ascii="Times New Roman" w:hAnsi="Times New Roman" w:cs="Times New Roman"/>
                <w:sz w:val="24"/>
                <w:szCs w:val="24"/>
                <w:lang w:val="uk-UA"/>
              </w:rPr>
            </w:pPr>
            <w:r>
              <w:rPr>
                <w:rFonts w:eastAsia="" w:cs="Times New Roman" w:ascii="Times New Roman" w:hAnsi="Times New Roman"/>
                <w:kern w:val="0"/>
                <w:sz w:val="24"/>
                <w:szCs w:val="24"/>
                <w:lang w:val="uk-UA" w:eastAsia="ru-RU" w:bidi="ar-SA"/>
              </w:rPr>
            </w:r>
          </w:p>
        </w:tc>
        <w:tc>
          <w:tcPr>
            <w:tcW w:w="908" w:type="dxa"/>
            <w:tcBorders>
              <w:top w:val="nil"/>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 гр</w:t>
            </w:r>
          </w:p>
        </w:tc>
        <w:tc>
          <w:tcPr>
            <w:tcW w:w="892" w:type="dxa"/>
            <w:tcBorders>
              <w:top w:val="nil"/>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2</w:t>
            </w:r>
            <w:r>
              <w:rPr>
                <w:rFonts w:eastAsia="" w:cs="" w:ascii="Times New Roman" w:hAnsi="Times New Roman"/>
                <w:kern w:val="0"/>
                <w:sz w:val="24"/>
                <w:szCs w:val="24"/>
                <w:lang w:val="en-US" w:eastAsia="ru-RU" w:bidi="ar-SA"/>
              </w:rPr>
              <w:t xml:space="preserve"> </w:t>
            </w:r>
            <w:r>
              <w:rPr>
                <w:rFonts w:eastAsia="" w:cs="" w:ascii="Times New Roman" w:hAnsi="Times New Roman"/>
                <w:kern w:val="0"/>
                <w:sz w:val="24"/>
                <w:szCs w:val="24"/>
                <w:lang w:val="uk-UA" w:eastAsia="ru-RU" w:bidi="ar-SA"/>
              </w:rPr>
              <w:t>гр</w:t>
            </w:r>
          </w:p>
        </w:tc>
        <w:tc>
          <w:tcPr>
            <w:tcW w:w="908" w:type="dxa"/>
            <w:tcBorders>
              <w:top w:val="nil"/>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3гр</w:t>
            </w:r>
          </w:p>
        </w:tc>
        <w:tc>
          <w:tcPr>
            <w:tcW w:w="1800" w:type="dxa"/>
            <w:tcBorders>
              <w:top w:val="nil"/>
            </w:tcBorders>
          </w:tcPr>
          <w:p>
            <w:pPr>
              <w:pStyle w:val="Normal"/>
              <w:widowControl/>
              <w:spacing w:lineRule="auto" w:line="240" w:before="0" w:after="0"/>
              <w:jc w:val="center"/>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r>
          </w:p>
        </w:tc>
        <w:tc>
          <w:tcPr>
            <w:tcW w:w="723" w:type="dxa"/>
            <w:tcBorders>
              <w:top w:val="nil"/>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c>
          <w:tcPr>
            <w:tcW w:w="1124" w:type="dxa"/>
            <w:tcBorders>
              <w:top w:val="nil"/>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r>
      <w:tr>
        <w:trPr/>
        <w:tc>
          <w:tcPr>
            <w:tcW w:w="5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19</w:t>
            </w:r>
          </w:p>
        </w:tc>
        <w:tc>
          <w:tcPr>
            <w:tcW w:w="8538" w:type="dxa"/>
            <w:tcBorders/>
          </w:tcPr>
          <w:p>
            <w:pPr>
              <w:pStyle w:val="Normal"/>
              <w:widowControl/>
              <w:spacing w:lineRule="auto" w:line="240" w:before="0" w:after="0"/>
              <w:jc w:val="left"/>
              <w:rPr>
                <w:rFonts w:ascii="Times New Roman" w:hAnsi="Times New Roman"/>
                <w:sz w:val="24"/>
                <w:szCs w:val="24"/>
                <w:lang w:val="uk-UA"/>
              </w:rPr>
            </w:pPr>
            <w:r>
              <w:rPr>
                <w:rFonts w:eastAsia="" w:cs="" w:ascii="Times New Roman" w:hAnsi="Times New Roman"/>
                <w:kern w:val="0"/>
                <w:sz w:val="24"/>
                <w:szCs w:val="24"/>
                <w:lang w:val="uk-UA" w:eastAsia="ru-RU" w:bidi="ar-SA"/>
              </w:rPr>
              <w:t>Методи обстеження хворих, діагностики та лікування невралгій трійчастого нерва.</w:t>
            </w:r>
          </w:p>
          <w:p>
            <w:pPr>
              <w:pStyle w:val="Normal"/>
              <w:widowControl/>
              <w:spacing w:lineRule="auto" w:line="240" w:before="0" w:after="0"/>
              <w:jc w:val="left"/>
              <w:rPr>
                <w:rFonts w:ascii="Times New Roman" w:hAnsi="Times New Roman" w:cs="Times New Roman"/>
                <w:sz w:val="24"/>
                <w:szCs w:val="24"/>
                <w:lang w:val="uk-UA"/>
              </w:rPr>
            </w:pPr>
            <w:r>
              <w:rPr>
                <w:rFonts w:eastAsia="" w:cs="" w:ascii="Times New Roman" w:hAnsi="Times New Roman"/>
                <w:kern w:val="0"/>
                <w:sz w:val="24"/>
                <w:szCs w:val="24"/>
                <w:lang w:val="uk-UA" w:eastAsia="ru-RU" w:bidi="ar-SA"/>
              </w:rPr>
              <w:t>Методика обстеження   хворих, діагностики та лікування невритів і геміатрофій обличчя. Параліч мімічної мускулатури. Етіологія, клініка, діагностики і лікування.</w:t>
            </w:r>
          </w:p>
        </w:tc>
        <w:tc>
          <w:tcPr>
            <w:tcW w:w="908"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892"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908"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1800" w:type="dxa"/>
            <w:tcBorders/>
          </w:tcPr>
          <w:p>
            <w:pPr>
              <w:pStyle w:val="Normal"/>
              <w:widowControl/>
              <w:spacing w:lineRule="auto" w:line="240" w:before="0" w:after="0"/>
              <w:jc w:val="center"/>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r>
          </w:p>
        </w:tc>
        <w:tc>
          <w:tcPr>
            <w:tcW w:w="723"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c>
          <w:tcPr>
            <w:tcW w:w="1124"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r>
      <w:tr>
        <w:trPr/>
        <w:tc>
          <w:tcPr>
            <w:tcW w:w="508" w:type="dxa"/>
            <w:tcBorders/>
          </w:tcPr>
          <w:p>
            <w:pPr>
              <w:pStyle w:val="Normal"/>
              <w:widowControl/>
              <w:spacing w:lineRule="auto" w:line="240" w:before="0" w:after="0"/>
              <w:jc w:val="center"/>
              <w:rPr>
                <w:rFonts w:ascii="Times New Roman" w:hAnsi="Times New Roman"/>
                <w:sz w:val="24"/>
                <w:szCs w:val="24"/>
                <w:lang w:val="uk-UA"/>
              </w:rPr>
            </w:pPr>
            <w:r>
              <w:rPr>
                <w:rFonts w:eastAsia="" w:cs="" w:ascii="Times New Roman" w:hAnsi="Times New Roman"/>
                <w:kern w:val="0"/>
                <w:sz w:val="24"/>
                <w:szCs w:val="24"/>
                <w:lang w:val="uk-UA" w:eastAsia="ru-RU" w:bidi="ar-SA"/>
              </w:rPr>
              <w:t>20</w:t>
            </w:r>
          </w:p>
        </w:tc>
        <w:tc>
          <w:tcPr>
            <w:tcW w:w="8538" w:type="dxa"/>
            <w:tcBorders/>
          </w:tcPr>
          <w:p>
            <w:pPr>
              <w:pStyle w:val="Normal"/>
              <w:widowControl/>
              <w:spacing w:lineRule="auto" w:line="240" w:before="0" w:after="0"/>
              <w:jc w:val="left"/>
              <w:rPr>
                <w:rFonts w:ascii="Times New Roman" w:hAnsi="Times New Roman"/>
                <w:sz w:val="24"/>
                <w:szCs w:val="24"/>
                <w:lang w:val="uk-UA"/>
              </w:rPr>
            </w:pPr>
            <w:r>
              <w:rPr>
                <w:rFonts w:eastAsia="" w:cs="" w:ascii="Times New Roman" w:hAnsi="Times New Roman"/>
                <w:kern w:val="0"/>
                <w:sz w:val="24"/>
                <w:szCs w:val="24"/>
                <w:lang w:val="uk-UA" w:eastAsia="ru-RU" w:bidi="ar-SA"/>
              </w:rPr>
              <w:t xml:space="preserve">Методи обстеження хворих, діагностика та лікування вивихів нижньої щелепи. Механізм вивиху, ознаки  одно- та двобічного вивиху, засоби вправлення, ускладнення. Звичні вивихи. Лікування. </w:t>
            </w:r>
          </w:p>
          <w:p>
            <w:pPr>
              <w:pStyle w:val="Normal"/>
              <w:widowControl/>
              <w:spacing w:lineRule="auto" w:line="240" w:before="0" w:after="0"/>
              <w:jc w:val="left"/>
              <w:rPr>
                <w:rFonts w:ascii="Times New Roman" w:hAnsi="Times New Roman" w:cs="Times New Roman"/>
                <w:sz w:val="24"/>
                <w:szCs w:val="24"/>
                <w:lang w:val="uk-UA"/>
              </w:rPr>
            </w:pPr>
            <w:r>
              <w:rPr>
                <w:rFonts w:eastAsia="" w:cs="" w:ascii="Times New Roman" w:hAnsi="Times New Roman"/>
                <w:kern w:val="0"/>
                <w:sz w:val="24"/>
                <w:szCs w:val="24"/>
                <w:lang w:val="uk-UA" w:eastAsia="ru-RU" w:bidi="ar-SA"/>
              </w:rPr>
              <w:t>Методика обстеження  хворих, діагностики та лікування анкілозів скроне-нижньощелепних суглобів.   Профілактика і лікування анкілозів. Методи оперативного втручання, розроблені  у клініці.</w:t>
            </w:r>
          </w:p>
          <w:p>
            <w:pPr>
              <w:pStyle w:val="Normal"/>
              <w:widowControl/>
              <w:spacing w:lineRule="auto" w:line="240" w:before="0" w:after="0"/>
              <w:jc w:val="left"/>
              <w:rPr>
                <w:rFonts w:ascii="Times New Roman" w:hAnsi="Times New Roman" w:cs="Times New Roman"/>
                <w:sz w:val="24"/>
                <w:szCs w:val="24"/>
                <w:lang w:val="uk-UA"/>
              </w:rPr>
            </w:pPr>
            <w:r>
              <w:rPr>
                <w:rFonts w:eastAsia="" w:cs="" w:ascii="Times New Roman" w:hAnsi="Times New Roman"/>
                <w:kern w:val="0"/>
                <w:sz w:val="24"/>
                <w:szCs w:val="24"/>
                <w:lang w:val="uk-UA" w:eastAsia="ru-RU" w:bidi="ar-SA"/>
              </w:rPr>
              <w:t>Методика обстеження  хворих, діагностики та лікування контрактур нижньої щелепи. Причини та види контрактур (рубці слизової  оболонки, м”язів, шкіри, кісткова контрактура). Профілактика, методи консервативного та хірургічного лікування. ЛФК та фізіотерапія в комплексному лікуванні контрактур.</w:t>
            </w:r>
          </w:p>
        </w:tc>
        <w:tc>
          <w:tcPr>
            <w:tcW w:w="908"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892"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908" w:type="dxa"/>
            <w:tcBorders/>
          </w:tcPr>
          <w:p>
            <w:pPr>
              <w:pStyle w:val="Normal"/>
              <w:widowControl/>
              <w:spacing w:lineRule="auto" w:line="240" w:before="0" w:after="0"/>
              <w:jc w:val="center"/>
              <w:rPr>
                <w:rFonts w:ascii="Times New Roman" w:hAnsi="Times New Roman"/>
                <w:sz w:val="24"/>
                <w:szCs w:val="24"/>
                <w:lang w:val="en-US"/>
              </w:rPr>
            </w:pPr>
            <w:r>
              <w:rPr>
                <w:rFonts w:eastAsia="" w:cs="" w:ascii="Times New Roman" w:hAnsi="Times New Roman"/>
                <w:kern w:val="0"/>
                <w:sz w:val="24"/>
                <w:szCs w:val="24"/>
                <w:lang w:val="en-US" w:eastAsia="ru-RU" w:bidi="ar-SA"/>
              </w:rPr>
            </w:r>
          </w:p>
        </w:tc>
        <w:tc>
          <w:tcPr>
            <w:tcW w:w="1800" w:type="dxa"/>
            <w:tcBorders/>
          </w:tcPr>
          <w:p>
            <w:pPr>
              <w:pStyle w:val="Normal"/>
              <w:widowControl/>
              <w:spacing w:lineRule="auto" w:line="240" w:before="0" w:after="0"/>
              <w:jc w:val="center"/>
              <w:rPr>
                <w:rFonts w:ascii="Times New Roman" w:hAnsi="Times New Roman" w:cs="Times New Roman"/>
                <w:sz w:val="20"/>
                <w:szCs w:val="20"/>
                <w:lang w:val="uk-UA"/>
              </w:rPr>
            </w:pPr>
            <w:r>
              <w:rPr>
                <w:rFonts w:eastAsia="" w:cs="Times New Roman" w:ascii="Times New Roman" w:hAnsi="Times New Roman"/>
                <w:kern w:val="0"/>
                <w:sz w:val="20"/>
                <w:szCs w:val="20"/>
                <w:lang w:val="uk-UA" w:eastAsia="ru-RU" w:bidi="ar-SA"/>
              </w:rPr>
            </w:r>
          </w:p>
        </w:tc>
        <w:tc>
          <w:tcPr>
            <w:tcW w:w="723"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c>
          <w:tcPr>
            <w:tcW w:w="1124" w:type="dxa"/>
            <w:tcBorders/>
          </w:tcPr>
          <w:p>
            <w:pPr>
              <w:pStyle w:val="Normal"/>
              <w:widowControl/>
              <w:spacing w:lineRule="auto" w:line="240" w:before="0" w:after="0"/>
              <w:jc w:val="center"/>
              <w:rPr>
                <w:rFonts w:ascii="Times New Roman" w:hAnsi="Times New Roman"/>
                <w:sz w:val="20"/>
                <w:szCs w:val="20"/>
                <w:lang w:val="uk-UA"/>
              </w:rPr>
            </w:pPr>
            <w:r>
              <w:rPr>
                <w:rFonts w:eastAsia="" w:cs="" w:ascii="Times New Roman" w:hAnsi="Times New Roman"/>
                <w:kern w:val="0"/>
                <w:sz w:val="20"/>
                <w:szCs w:val="20"/>
                <w:lang w:val="uk-UA" w:eastAsia="ru-RU" w:bidi="ar-SA"/>
              </w:rPr>
            </w:r>
          </w:p>
        </w:tc>
      </w:tr>
    </w:tbl>
    <w:p>
      <w:pPr>
        <w:pStyle w:val="Normal"/>
        <w:spacing w:before="0" w:after="0"/>
        <w:jc w:val="center"/>
        <w:rPr>
          <w:rFonts w:ascii="Times New Roman" w:hAnsi="Times New Roman" w:cs="Times New Roman"/>
          <w:sz w:val="24"/>
          <w:szCs w:val="24"/>
        </w:rPr>
      </w:pPr>
      <w:r>
        <w:rPr>
          <w:rFonts w:cs="Times New Roman" w:ascii="Times New Roman" w:hAnsi="Times New Roman"/>
          <w:sz w:val="24"/>
          <w:szCs w:val="24"/>
        </w:rPr>
      </w:r>
    </w:p>
    <w:p>
      <w:pPr>
        <w:pStyle w:val="Normal"/>
        <w:spacing w:before="0" w:after="0"/>
        <w:rPr>
          <w:rFonts w:ascii="Times New Roman" w:hAnsi="Times New Roman" w:cs="Times New Roman"/>
          <w:sz w:val="24"/>
          <w:szCs w:val="24"/>
        </w:rPr>
      </w:pPr>
      <w:r>
        <w:rPr>
          <w:rFonts w:cs="Times New Roman" w:ascii="Times New Roman" w:hAnsi="Times New Roman"/>
          <w:sz w:val="24"/>
          <w:szCs w:val="24"/>
          <w:lang w:val="uk-UA"/>
        </w:rPr>
        <w:t>Завуч кафедри  асистент                                                                                           Лунгу К.В.</w:t>
      </w:r>
    </w:p>
    <w:p>
      <w:pPr>
        <w:pStyle w:val="Normal"/>
        <w:spacing w:before="0" w:after="0"/>
        <w:jc w:val="center"/>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center"/>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center"/>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center"/>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center"/>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center"/>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center"/>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center"/>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center"/>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center"/>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center"/>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center"/>
        <w:rPr>
          <w:rFonts w:ascii="Times New Roman" w:hAnsi="Times New Roman" w:cs="Times New Roman"/>
          <w:sz w:val="24"/>
          <w:szCs w:val="24"/>
        </w:rPr>
      </w:pPr>
      <w:r>
        <w:rPr/>
      </w:r>
    </w:p>
    <w:sectPr>
      <w:type w:val="nextPage"/>
      <w:pgSz w:orient="landscape" w:w="16838" w:h="11906"/>
      <w:pgMar w:left="1134" w:right="1134" w:gutter="0" w:header="0" w:top="850" w:footer="0" w:bottom="851"/>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ahoma">
    <w:charset w:val="cc"/>
    <w:family w:val="swiss"/>
    <w:pitch w:val="variable"/>
  </w:font>
  <w:font w:name="Times New Roman">
    <w:charset w:val="cc"/>
    <w:family w:val="roman"/>
    <w:pitch w:val="variable"/>
  </w:font>
  <w:font w:name="Liberation Sans">
    <w:altName w:val="Arial"/>
    <w:charset w:val="cc"/>
    <w:family w:val="swiss"/>
    <w:pitch w:val="variable"/>
  </w:font>
  <w:font w:name="Times New Roman">
    <w:charset w:val="01"/>
    <w:family w:val="roman"/>
    <w:pitch w:val="variable"/>
  </w:font>
</w:fonts>
</file>

<file path=word/settings.xml><?xml version="1.0" encoding="utf-8"?>
<w:settings xmlns:w="http://schemas.openxmlformats.org/wordprocessingml/2006/main">
  <w:zoom w:percent="65"/>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uk-UA"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ru-RU" w:eastAsia="ru-RU"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uiPriority="0"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a23d5b"/>
    <w:pPr>
      <w:widowControl/>
      <w:bidi w:val="0"/>
      <w:spacing w:lineRule="auto" w:line="276" w:before="0" w:after="200"/>
      <w:jc w:val="left"/>
    </w:pPr>
    <w:rPr>
      <w:rFonts w:ascii="Calibri" w:hAnsi="Calibri" w:eastAsia="" w:cs="" w:asciiTheme="minorHAnsi" w:cstheme="minorBidi" w:eastAsiaTheme="minorEastAsia" w:hAnsiTheme="minorHAnsi"/>
      <w:color w:val="auto"/>
      <w:kern w:val="0"/>
      <w:sz w:val="22"/>
      <w:szCs w:val="22"/>
      <w:lang w:val="ru-RU" w:eastAsia="ru-RU" w:bidi="ar-SA"/>
    </w:rPr>
  </w:style>
  <w:style w:type="character" w:styleId="DefaultParagraphFont" w:default="1">
    <w:name w:val="Default Paragraph Font"/>
    <w:uiPriority w:val="1"/>
    <w:semiHidden/>
    <w:unhideWhenUsed/>
    <w:qFormat/>
    <w:rPr/>
  </w:style>
  <w:style w:type="character" w:styleId="Style14" w:customStyle="1">
    <w:name w:val="Текст у виносці Знак"/>
    <w:basedOn w:val="DefaultParagraphFont"/>
    <w:link w:val="BalloonText"/>
    <w:uiPriority w:val="99"/>
    <w:semiHidden/>
    <w:qFormat/>
    <w:rsid w:val="005c7e95"/>
    <w:rPr>
      <w:rFonts w:ascii="Tahoma" w:hAnsi="Tahoma" w:cs="Tahoma"/>
      <w:sz w:val="16"/>
      <w:szCs w:val="16"/>
    </w:rPr>
  </w:style>
  <w:style w:type="character" w:styleId="Style15" w:customStyle="1">
    <w:name w:val="Основний текст з відступом Знак"/>
    <w:basedOn w:val="DefaultParagraphFont"/>
    <w:qFormat/>
    <w:rsid w:val="00c0314e"/>
    <w:rPr>
      <w:rFonts w:ascii="Times New Roman" w:hAnsi="Times New Roman" w:eastAsia="Times New Roman" w:cs="Times New Roman"/>
      <w:sz w:val="24"/>
      <w:szCs w:val="24"/>
    </w:rPr>
  </w:style>
  <w:style w:type="paragraph" w:styleId="Style16">
    <w:name w:val="Заголовок"/>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7">
    <w:name w:val="Покажчик"/>
    <w:basedOn w:val="Normal"/>
    <w:qFormat/>
    <w:pPr>
      <w:suppressLineNumbers/>
    </w:pPr>
    <w:rPr>
      <w:rFonts w:cs="Arial"/>
    </w:rPr>
  </w:style>
  <w:style w:type="paragraph" w:styleId="List2">
    <w:name w:val="List 2"/>
    <w:basedOn w:val="Normal"/>
    <w:unhideWhenUsed/>
    <w:qFormat/>
    <w:rsid w:val="00f0750e"/>
    <w:pPr>
      <w:spacing w:lineRule="auto" w:line="240" w:before="0" w:after="0"/>
      <w:ind w:hanging="283" w:left="566"/>
    </w:pPr>
    <w:rPr>
      <w:rFonts w:ascii="Times New Roman" w:hAnsi="Times New Roman" w:eastAsia="Times New Roman" w:cs="Times New Roman"/>
      <w:sz w:val="20"/>
      <w:szCs w:val="20"/>
    </w:rPr>
  </w:style>
  <w:style w:type="paragraph" w:styleId="BalloonText">
    <w:name w:val="Balloon Text"/>
    <w:basedOn w:val="Normal"/>
    <w:link w:val="Style14"/>
    <w:uiPriority w:val="99"/>
    <w:semiHidden/>
    <w:unhideWhenUsed/>
    <w:qFormat/>
    <w:rsid w:val="005c7e95"/>
    <w:pPr>
      <w:spacing w:lineRule="auto" w:line="240" w:before="0" w:after="0"/>
    </w:pPr>
    <w:rPr>
      <w:rFonts w:ascii="Tahoma" w:hAnsi="Tahoma" w:cs="Tahoma"/>
      <w:sz w:val="16"/>
      <w:szCs w:val="16"/>
    </w:rPr>
  </w:style>
  <w:style w:type="paragraph" w:styleId="ListBullet2">
    <w:name w:val="List Bullet 2"/>
    <w:basedOn w:val="Normal"/>
    <w:unhideWhenUsed/>
    <w:rsid w:val="00c0314e"/>
    <w:pPr>
      <w:suppressAutoHyphens w:val="true"/>
      <w:spacing w:lineRule="auto" w:line="240" w:before="0" w:after="0"/>
      <w:ind w:hanging="283" w:left="566"/>
    </w:pPr>
    <w:rPr>
      <w:rFonts w:ascii="Times New Roman" w:hAnsi="Times New Roman" w:eastAsia="Times New Roman" w:cs="Times New Roman"/>
      <w:sz w:val="20"/>
      <w:szCs w:val="20"/>
    </w:rPr>
  </w:style>
  <w:style w:type="paragraph" w:styleId="BodyTextIndent">
    <w:name w:val="Body Text Indent"/>
    <w:basedOn w:val="Normal"/>
    <w:link w:val="Style15"/>
    <w:unhideWhenUsed/>
    <w:rsid w:val="00c0314e"/>
    <w:pPr>
      <w:spacing w:lineRule="auto" w:line="240" w:before="0" w:after="120"/>
      <w:ind w:left="283"/>
    </w:pPr>
    <w:rPr>
      <w:rFonts w:ascii="Times New Roman" w:hAnsi="Times New Roman" w:eastAsia="Times New Roman" w:cs="Times New Roman"/>
      <w:sz w:val="24"/>
      <w:szCs w:val="24"/>
    </w:rPr>
  </w:style>
  <w:style w:type="paragraph" w:styleId="Style18">
    <w:name w:val="Вміст таблиці"/>
    <w:basedOn w:val="Normal"/>
    <w:qFormat/>
    <w:pPr>
      <w:widowControl w:val="false"/>
      <w:suppressLineNumbers/>
    </w:pPr>
    <w:rPr/>
  </w:style>
  <w:style w:type="paragraph" w:styleId="Style19">
    <w:name w:val="Заголовок таблиці"/>
    <w:basedOn w:val="Style18"/>
    <w:qFormat/>
    <w:pPr>
      <w:suppressLineNumbers/>
      <w:jc w:val="center"/>
    </w:pPr>
    <w:rPr>
      <w:b/>
      <w:bCs/>
    </w:rPr>
  </w:style>
  <w:style w:type="numbering" w:styleId="Style20" w:default="1">
    <w:name w:val="Без маркерів"/>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5">
    <w:name w:val="Table Grid"/>
    <w:basedOn w:val="a1"/>
    <w:uiPriority w:val="59"/>
    <w:rsid w:val="00f51b6a"/>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A70D45-FB2C-464C-B147-71E376E950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1970</TotalTime>
  <Application>LibreOffice/25.2.5.2$Windows_X86_64 LibreOffice_project/03d19516eb2e1dd5d4ccd751a0d6f35f35e08022</Application>
  <AppVersion>15.0000</AppVersion>
  <Pages>5</Pages>
  <Words>838</Words>
  <Characters>6351</Characters>
  <CharactersWithSpaces>8066</CharactersWithSpaces>
  <Paragraphs>113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2016-03-15T08:41:00Z</dcterms:created>
  <dc:creator>Кафедра</dc:creator>
  <dc:description/>
  <dc:language>en-US</dc:language>
  <cp:lastModifiedBy/>
  <cp:lastPrinted>2024-09-19T08:43:00Z</cp:lastPrinted>
  <dcterms:modified xsi:type="dcterms:W3CDTF">2025-08-28T10:54:43Z</dcterms:modified>
  <cp:revision>42</cp:revision>
  <dc:subject/>
  <dc:title/>
</cp:coreProperties>
</file>

<file path=docProps/custom.xml><?xml version="1.0" encoding="utf-8"?>
<Properties xmlns="http://schemas.openxmlformats.org/officeDocument/2006/custom-properties" xmlns:vt="http://schemas.openxmlformats.org/officeDocument/2006/docPropsVTypes"/>
</file>