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Одеський національний медичний університет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Факультет стоматологічний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Кафедра хірургічної стоматології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Силабус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в</w:t>
      </w:r>
      <w:bookmarkStart w:id="0" w:name="_GoBack"/>
      <w:bookmarkEnd w:id="0"/>
      <w:r>
        <w:rPr>
          <w:rFonts w:cs="Times New Roman" w:ascii="Times New Roman" w:hAnsi="Times New Roman"/>
          <w:sz w:val="24"/>
          <w:szCs w:val="24"/>
          <w:lang w:val="uk-UA"/>
        </w:rPr>
        <w:t>ибіркової навчальної дисципліни  «Основи надання невідкладної допомоги при вогнепальних ураженнях щелепно-лицевої ділянки»</w:t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tbl>
      <w:tblPr>
        <w:tblStyle w:val="a3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943"/>
        <w:gridCol w:w="6627"/>
      </w:tblGrid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Обсяг 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9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0 годин\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3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кредит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Семестр, рік навчання 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I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Х семестр, 5 рік навчання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Дні, час, місце 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Циклові заняття   відповідно розкладу  8.30-14.00; Навчальний центр    (вул.Пішонівська,1)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Викладачі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Пасечник Алла Михайлівна, канд..мед,наук,доцент,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Дмитрієва Наталія Борисівна, канд..мед,наук,доцент,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Парасочкіна Вікторія Володимирівна, канд..мед.наук, асистент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Контактний телефон 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0949964216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E-mail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h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irs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tom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@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onmedu.edu.ua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Робоче місце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Каб.5,6,7 Навчальний центр    (вул.Пішонівська,1)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Консультації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before="0" w:after="20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Очні консультації:  четвер з 14.30 до 18.00 год, субота 9.00-15.00 кожного тижня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Комунікації зі здобувачами вищої освіти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– очні зустрічі, </w:t>
      </w:r>
      <w:r>
        <w:rPr>
          <w:rFonts w:cs="Times New Roman" w:ascii="Times New Roman" w:hAnsi="Times New Roman"/>
          <w:sz w:val="24"/>
          <w:szCs w:val="24"/>
          <w:lang w:val="en-US"/>
        </w:rPr>
        <w:t>on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en-US"/>
        </w:rPr>
        <w:t>line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(</w:t>
      </w:r>
      <w:r>
        <w:rPr>
          <w:rFonts w:cs="Times New Roman" w:ascii="Times New Roman" w:hAnsi="Times New Roman"/>
          <w:sz w:val="24"/>
          <w:szCs w:val="24"/>
          <w:lang w:val="en-US"/>
        </w:rPr>
        <w:t>Microsoft teams</w:t>
      </w:r>
      <w:r>
        <w:rPr>
          <w:rFonts w:cs="Times New Roman" w:ascii="Times New Roman" w:hAnsi="Times New Roman"/>
          <w:sz w:val="24"/>
          <w:szCs w:val="24"/>
          <w:lang w:val="uk-UA"/>
        </w:rPr>
        <w:t>)</w:t>
      </w:r>
    </w:p>
    <w:p>
      <w:pPr>
        <w:pStyle w:val="Normal"/>
        <w:rPr>
          <w:rFonts w:ascii="Times New Roman" w:hAnsi="Times New Roman" w:cs="Times New Roman"/>
          <w:b/>
          <w:b/>
          <w:color w:val="002060"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color w:val="002060"/>
          <w:sz w:val="24"/>
          <w:szCs w:val="24"/>
          <w:lang w:val="uk-UA"/>
        </w:rPr>
        <w:t xml:space="preserve">АНОТАЦІЯ КУРСУ є </w:t>
      </w:r>
    </w:p>
    <w:p>
      <w:pPr>
        <w:pStyle w:val="Normal"/>
        <w:shd w:val="clear" w:color="auto" w:fill="FFFFFF"/>
        <w:tabs>
          <w:tab w:val="clear" w:pos="708"/>
          <w:tab w:val="left" w:pos="851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i/>
          <w:sz w:val="24"/>
          <w:szCs w:val="24"/>
          <w:lang w:val="uk-UA"/>
        </w:rPr>
        <w:t>Предмет вивчення дисципліни</w:t>
      </w:r>
      <w:r>
        <w:rPr>
          <w:rFonts w:cs="Times New Roman" w:ascii="Times New Roman" w:hAnsi="Times New Roman"/>
          <w:sz w:val="24"/>
          <w:szCs w:val="24"/>
          <w:lang w:val="uk-UA"/>
        </w:rPr>
        <w:t>.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Предметом вивчення вибіркової навчальної дисципліни є особливості клінічного протікання і діагностики поранень і пошкоджень щелепно-лицевої ділянки, види поранень щелепно-лицевої ділянки; особливості будови ЩЛД,  які впливають на клінічну картину перебігу раневого процесу;  надання допомоги на етапах медичної евакуації.</w:t>
      </w:r>
    </w:p>
    <w:p>
      <w:pPr>
        <w:pStyle w:val="Normal"/>
        <w:shd w:val="clear" w:color="auto" w:fill="FFFFFF"/>
        <w:tabs>
          <w:tab w:val="clear" w:pos="708"/>
          <w:tab w:val="left" w:pos="851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Пререквізити курсу: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Нормальна анатомія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Нормальна фізіологія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Гістологія, ембріологія і цитологія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Патологічна анатомія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Патологічна фізіологія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 xml:space="preserve">Оперативна хірургія і топографічна анатомія 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Мікробіологія, вірусологія та імунологія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Медична хімія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Загальна і клінічна фармакологія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Шпитальна хірургія і хірургія стомат-факультету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Пропедевтика внутрішніх хвороб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Соціальна медицина, управління та економіка  охорони здоров’я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Кафедра загальної гігієни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Фтізіопульмонологія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Оториноларингологія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Шкірно-венеричні хвороби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Інфекційніхвороби з курсом епідеміології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Терапевтична стоматологія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 xml:space="preserve">Ортопедична стоматологія </w:t>
      </w:r>
    </w:p>
    <w:p>
      <w:pPr>
        <w:pStyle w:val="ListParagraph"/>
        <w:numPr>
          <w:ilvl w:val="0"/>
          <w:numId w:val="2"/>
        </w:numPr>
        <w:rPr>
          <w:lang w:val="uk-UA"/>
        </w:rPr>
      </w:pPr>
      <w:r>
        <w:rPr>
          <w:lang w:val="uk-UA"/>
        </w:rPr>
        <w:t>Ортодонтія</w:t>
      </w:r>
    </w:p>
    <w:p>
      <w:pPr>
        <w:pStyle w:val="Normal"/>
        <w:shd w:val="clear" w:color="auto" w:fill="FFFFFF"/>
        <w:tabs>
          <w:tab w:val="clear" w:pos="708"/>
          <w:tab w:val="left" w:pos="709" w:leader="none"/>
        </w:tabs>
        <w:spacing w:before="0" w:after="0"/>
        <w:jc w:val="both"/>
        <w:rPr>
          <w:rFonts w:ascii="Times New Roman" w:hAnsi="Times New Roman" w:cs="Times New Roman"/>
          <w:b/>
          <w:b/>
          <w:color w:val="000000"/>
          <w:spacing w:val="-1"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color w:val="000000"/>
          <w:spacing w:val="-1"/>
          <w:sz w:val="24"/>
          <w:szCs w:val="24"/>
          <w:lang w:val="uk-UA"/>
        </w:rPr>
      </w:r>
    </w:p>
    <w:p>
      <w:pPr>
        <w:pStyle w:val="Normal"/>
        <w:shd w:val="clear" w:color="auto" w:fill="FFFFFF"/>
        <w:spacing w:lineRule="auto" w:line="240" w:before="0" w:after="0"/>
        <w:ind w:right="57" w:hanging="0"/>
        <w:jc w:val="both"/>
        <w:rPr>
          <w:rFonts w:ascii="Times New Roman" w:hAnsi="Times New Roman" w:cs="Times New Roman"/>
          <w:i/>
          <w:i/>
          <w:color w:val="000000"/>
          <w:sz w:val="24"/>
          <w:szCs w:val="24"/>
          <w:lang w:val="uk-UA"/>
        </w:rPr>
      </w:pPr>
      <w:r>
        <w:rPr>
          <w:rFonts w:cs="Times New Roman" w:ascii="Times New Roman" w:hAnsi="Times New Roman"/>
          <w:i/>
          <w:sz w:val="24"/>
          <w:szCs w:val="24"/>
          <w:lang w:val="uk-UA"/>
        </w:rPr>
        <w:t>Мета курсу</w:t>
      </w:r>
      <w:r>
        <w:rPr>
          <w:rFonts w:cs="Times New Roman" w:ascii="Times New Roman" w:hAnsi="Times New Roman"/>
          <w:i/>
          <w:color w:val="000000"/>
          <w:sz w:val="24"/>
          <w:szCs w:val="24"/>
          <w:lang w:val="uk-UA"/>
        </w:rPr>
        <w:t xml:space="preserve"> .</w:t>
      </w:r>
    </w:p>
    <w:p>
      <w:pPr>
        <w:pStyle w:val="Normal"/>
        <w:shd w:val="clear" w:color="auto" w:fill="FFFFFF"/>
        <w:spacing w:lineRule="auto" w:line="240" w:before="0" w:after="0"/>
        <w:ind w:left="57" w:right="57" w:hanging="0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uk-UA"/>
        </w:rPr>
        <w:t>Формування  професійної значимості оволодіння здобувачами вищої освіти методами надання  медичної допомоги  при вогнепальних пораненнях м’яких  і кісткових тканин щелепно-лицевої ділянки, уявленням про фізіологічний плин  ранового процесу, особливостям  вогнепальних поранень  ШЛД.</w:t>
      </w:r>
    </w:p>
    <w:p>
      <w:pPr>
        <w:pStyle w:val="Normal"/>
        <w:shd w:val="clear" w:color="auto" w:fill="FFFFFF"/>
        <w:spacing w:lineRule="auto" w:line="240" w:before="0" w:after="0"/>
        <w:ind w:left="57" w:right="57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i/>
          <w:sz w:val="24"/>
          <w:szCs w:val="24"/>
          <w:lang w:val="uk-UA"/>
        </w:rPr>
        <w:t>Завдання дисципліни.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 результаті вивчення даної теми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здобувачі </w:t>
      </w:r>
      <w:r>
        <w:rPr>
          <w:rFonts w:cs="Times New Roman" w:ascii="Times New Roman" w:hAnsi="Times New Roman"/>
          <w:sz w:val="24"/>
          <w:szCs w:val="24"/>
        </w:rPr>
        <w:t xml:space="preserve"> повинні знати: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З</w:t>
      </w:r>
      <w:r>
        <w:rPr>
          <w:rFonts w:cs="Times New Roman" w:ascii="Times New Roman" w:hAnsi="Times New Roman"/>
          <w:sz w:val="24"/>
          <w:szCs w:val="24"/>
        </w:rPr>
        <w:t>асоби надання першої медичної допомоги на полі бою;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О</w:t>
      </w:r>
      <w:r>
        <w:rPr>
          <w:rFonts w:cs="Times New Roman" w:ascii="Times New Roman" w:hAnsi="Times New Roman"/>
          <w:sz w:val="24"/>
          <w:szCs w:val="24"/>
        </w:rPr>
        <w:t>бсяг першої медичної допомоги на полі бою;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З</w:t>
      </w:r>
      <w:r>
        <w:rPr>
          <w:rFonts w:cs="Times New Roman" w:ascii="Times New Roman" w:hAnsi="Times New Roman"/>
          <w:sz w:val="24"/>
          <w:szCs w:val="24"/>
        </w:rPr>
        <w:t>асоби та порядок надання долікарської допомоги;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О</w:t>
      </w:r>
      <w:r>
        <w:rPr>
          <w:rFonts w:cs="Times New Roman" w:ascii="Times New Roman" w:hAnsi="Times New Roman"/>
          <w:sz w:val="24"/>
          <w:szCs w:val="24"/>
        </w:rPr>
        <w:t>бсяг долікарської допомоги щелепно-лицевим пораненими;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З</w:t>
      </w:r>
      <w:r>
        <w:rPr>
          <w:rFonts w:cs="Times New Roman" w:ascii="Times New Roman" w:hAnsi="Times New Roman"/>
          <w:sz w:val="24"/>
          <w:szCs w:val="24"/>
        </w:rPr>
        <w:t>асоби надання кваліфікованої медичної допомоги на полі бою;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Обсяг кваліфікованої  медичної допомоги щелепно-лицевим пораненим;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Особливості сортування поранених на етапах кваліфікованої  допомоги;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Організацію надання зуболікарської допомоги на етапах кваліфікованої  допомоги;</w:t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ind w:left="360" w:hanging="0"/>
        <w:rPr>
          <w:i/>
          <w:i/>
          <w:lang w:val="uk-UA"/>
        </w:rPr>
      </w:pPr>
      <w:r>
        <w:rPr>
          <w:i/>
          <w:lang w:val="uk-UA"/>
        </w:rPr>
        <w:t xml:space="preserve">Очікувані результати: </w:t>
      </w:r>
    </w:p>
    <w:p>
      <w:pPr>
        <w:pStyle w:val="ListParagraph"/>
        <w:ind w:left="360" w:hanging="0"/>
        <w:rPr>
          <w:i/>
          <w:i/>
          <w:lang w:val="uk-UA"/>
        </w:rPr>
      </w:pPr>
      <w:r>
        <w:rPr>
          <w:lang w:val="uk-UA"/>
        </w:rPr>
        <w:t>здобувачі повинні  вміти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Надавати першу медичну допомогу на полі бою;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Надавати долікарську допомогу щелепно-лицевим пораненим;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Надавати першу лікарську допомогу щелепно-лицевим пораненим;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Надавати кваліфіковану ме</w:t>
      </w:r>
      <w:r>
        <w:rPr>
          <w:rFonts w:cs="Times New Roman" w:ascii="Times New Roman" w:hAnsi="Times New Roman"/>
          <w:sz w:val="24"/>
          <w:szCs w:val="24"/>
          <w:lang w:val="uk-UA"/>
        </w:rPr>
        <w:t>д</w:t>
      </w:r>
      <w:r>
        <w:rPr>
          <w:rFonts w:cs="Times New Roman" w:ascii="Times New Roman" w:hAnsi="Times New Roman"/>
          <w:sz w:val="24"/>
          <w:szCs w:val="24"/>
        </w:rPr>
        <w:t>ичну допомогу щелепно-лицевим пораненим;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Вірно встановити діагноз при пораненнях та пошкодженнях щелепно-лицевої ділянки, спираючись на дані клінічного, лабораторного і рен</w:t>
      </w:r>
      <w:r>
        <w:rPr>
          <w:rFonts w:cs="Times New Roman" w:ascii="Times New Roman" w:hAnsi="Times New Roman"/>
          <w:sz w:val="24"/>
          <w:szCs w:val="24"/>
          <w:lang w:val="uk-UA"/>
        </w:rPr>
        <w:t>т</w:t>
      </w:r>
      <w:r>
        <w:rPr>
          <w:rFonts w:cs="Times New Roman" w:ascii="Times New Roman" w:hAnsi="Times New Roman"/>
          <w:sz w:val="24"/>
          <w:szCs w:val="24"/>
        </w:rPr>
        <w:t>генологічного дослідження.</w:t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Здобувач  повинен:</w:t>
      </w:r>
    </w:p>
    <w:p>
      <w:pPr>
        <w:pStyle w:val="ListParagraph"/>
        <w:numPr>
          <w:ilvl w:val="0"/>
          <w:numId w:val="1"/>
        </w:numPr>
        <w:rPr>
          <w:lang w:val="uk-UA"/>
        </w:rPr>
      </w:pPr>
      <w:r>
        <w:rPr>
          <w:lang w:val="uk-UA"/>
        </w:rPr>
        <w:t xml:space="preserve"> </w:t>
      </w:r>
      <w:r>
        <w:rPr>
          <w:lang w:val="uk-UA"/>
        </w:rPr>
        <w:t xml:space="preserve">оволодіти принципами обстеження хворих: </w:t>
      </w:r>
    </w:p>
    <w:p>
      <w:pPr>
        <w:pStyle w:val="ListParagraph"/>
        <w:numPr>
          <w:ilvl w:val="0"/>
          <w:numId w:val="1"/>
        </w:numPr>
        <w:rPr>
          <w:lang w:val="uk-UA"/>
        </w:rPr>
      </w:pPr>
      <w:r>
        <w:rPr>
          <w:lang w:val="uk-UA"/>
        </w:rPr>
        <w:t>знати значення спеціальних та допоміжних методів обстеження для диференційної діагностики,</w:t>
      </w:r>
    </w:p>
    <w:p>
      <w:pPr>
        <w:pStyle w:val="ListParagraph"/>
        <w:numPr>
          <w:ilvl w:val="0"/>
          <w:numId w:val="1"/>
        </w:numPr>
        <w:rPr>
          <w:lang w:val="uk-UA"/>
        </w:rPr>
      </w:pPr>
      <w:r>
        <w:rPr>
          <w:lang w:val="uk-UA"/>
        </w:rPr>
        <w:t xml:space="preserve"> </w:t>
      </w:r>
      <w:r>
        <w:rPr>
          <w:lang w:val="uk-UA"/>
        </w:rPr>
        <w:t xml:space="preserve">знати основні етапи і методики проведення стоматологічних операцій, питання асептики та антисептики, </w:t>
      </w:r>
    </w:p>
    <w:p>
      <w:pPr>
        <w:pStyle w:val="ListParagraph"/>
        <w:numPr>
          <w:ilvl w:val="0"/>
          <w:numId w:val="1"/>
        </w:numPr>
        <w:rPr>
          <w:lang w:val="uk-UA"/>
        </w:rPr>
      </w:pPr>
      <w:r>
        <w:rPr>
          <w:lang w:val="uk-UA"/>
        </w:rPr>
        <w:t>принципи та методи анестезіології, загального та місцевого знеболення,</w:t>
      </w:r>
    </w:p>
    <w:p>
      <w:pPr>
        <w:pStyle w:val="ListParagraph"/>
        <w:numPr>
          <w:ilvl w:val="0"/>
          <w:numId w:val="1"/>
        </w:numPr>
        <w:rPr>
          <w:lang w:val="uk-UA"/>
        </w:rPr>
      </w:pPr>
      <w:r>
        <w:rPr>
          <w:lang w:val="uk-UA"/>
        </w:rPr>
        <w:t xml:space="preserve"> </w:t>
      </w:r>
      <w:r>
        <w:rPr>
          <w:lang w:val="uk-UA"/>
        </w:rPr>
        <w:t>проводити аналіз оглядових, панорамних, прицільних дентальних та контрольних рентгенограм, томограм,</w:t>
      </w:r>
    </w:p>
    <w:p>
      <w:pPr>
        <w:pStyle w:val="ListParagraph"/>
        <w:numPr>
          <w:ilvl w:val="0"/>
          <w:numId w:val="1"/>
        </w:numPr>
        <w:rPr>
          <w:lang w:val="uk-UA"/>
        </w:rPr>
      </w:pPr>
      <w:r>
        <w:rPr>
          <w:lang w:val="uk-UA"/>
        </w:rPr>
        <w:t xml:space="preserve"> </w:t>
      </w:r>
      <w:r>
        <w:rPr>
          <w:lang w:val="uk-UA"/>
        </w:rPr>
        <w:t>розробляти план та тактику лікування, встановлювати первинний (попередній) діагноз на основі аналізу одержаних результатів та визначати показання до стоматологічних втручань</w:t>
      </w:r>
    </w:p>
    <w:p>
      <w:pPr>
        <w:pStyle w:val="Normal"/>
        <w:suppressAutoHyphens w:val="true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</w:t>
      </w:r>
    </w:p>
    <w:p>
      <w:pPr>
        <w:pStyle w:val="Normal"/>
        <w:spacing w:before="0" w:after="0"/>
        <w:rPr>
          <w:rFonts w:ascii="Times New Roman" w:hAnsi="Times New Roman" w:cs="Times New Roman"/>
          <w:b/>
          <w:b/>
          <w:color w:val="002060"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color w:val="002060"/>
          <w:sz w:val="24"/>
          <w:szCs w:val="24"/>
          <w:lang w:val="uk-UA"/>
        </w:rPr>
        <w:t>9.ОПИС КУРСУ:</w:t>
      </w:r>
    </w:p>
    <w:p>
      <w:pPr>
        <w:pStyle w:val="Normal"/>
        <w:spacing w:before="0" w:after="0"/>
        <w:rPr>
          <w:rFonts w:ascii="Times New Roman" w:hAnsi="Times New Roman" w:cs="Times New Roman"/>
          <w:b/>
          <w:b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</w:t>
      </w:r>
      <w:r>
        <w:rPr>
          <w:rFonts w:cs="Times New Roman" w:ascii="Times New Roman" w:hAnsi="Times New Roman"/>
          <w:b/>
          <w:i/>
          <w:sz w:val="24"/>
          <w:szCs w:val="24"/>
          <w:lang w:val="uk-UA"/>
        </w:rPr>
        <w:t>Форми і методи навчання: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</w:t>
      </w:r>
      <w:r>
        <w:rPr>
          <w:rFonts w:cs="Times New Roman" w:ascii="Times New Roman" w:hAnsi="Times New Roman"/>
          <w:sz w:val="24"/>
          <w:szCs w:val="24"/>
          <w:lang w:val="uk-UA"/>
        </w:rPr>
        <w:t>Курс буде викладений у формі практичних занять (30 годин), організації самостійної роботи здобувач вищої освіти ів (</w:t>
      </w:r>
      <w:r>
        <w:rPr>
          <w:rFonts w:cs="Times New Roman" w:ascii="Times New Roman" w:hAnsi="Times New Roman"/>
          <w:sz w:val="24"/>
          <w:szCs w:val="24"/>
          <w:lang w:val="uk-UA"/>
        </w:rPr>
        <w:t>6</w:t>
      </w:r>
      <w:r>
        <w:rPr>
          <w:rFonts w:cs="Times New Roman" w:ascii="Times New Roman" w:hAnsi="Times New Roman"/>
          <w:sz w:val="24"/>
          <w:szCs w:val="24"/>
          <w:lang w:val="uk-UA"/>
        </w:rPr>
        <w:t>0 годин).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val="uk-UA"/>
        </w:rPr>
      </w:pPr>
      <w:r>
        <w:rPr>
          <w:rFonts w:eastAsia="Times New Roman" w:cs="Times New Roman" w:ascii="Times New Roman" w:hAnsi="Times New Roman"/>
          <w:sz w:val="24"/>
          <w:szCs w:val="24"/>
          <w:lang w:val="uk-UA"/>
        </w:rPr>
        <w:t xml:space="preserve">Під час викладання дисципліни використовуються такі методи навчання: пояснення, мультимедійні презентації, </w:t>
      </w:r>
      <w:r>
        <w:rPr>
          <w:rFonts w:cs="Times New Roman" w:ascii="Times New Roman" w:hAnsi="Times New Roman"/>
          <w:sz w:val="24"/>
          <w:szCs w:val="24"/>
          <w:lang w:val="uk-UA"/>
        </w:rPr>
        <w:t>ситуаційне навчання, симуляційне навчання, усне опитування, тестування, виконання індивідуальних завдань, самостійна робота з підручником</w:t>
      </w:r>
      <w:r>
        <w:rPr>
          <w:rFonts w:eastAsia="Times New Roman" w:cs="Times New Roman" w:ascii="Times New Roman" w:hAnsi="Times New Roman"/>
          <w:sz w:val="24"/>
          <w:szCs w:val="24"/>
          <w:lang w:val="uk-UA"/>
        </w:rPr>
        <w:t>.</w:t>
      </w:r>
    </w:p>
    <w:p>
      <w:pPr>
        <w:pStyle w:val="Normal"/>
        <w:spacing w:before="0" w:after="0"/>
        <w:rPr>
          <w:rFonts w:ascii="Times New Roman" w:hAnsi="Times New Roman" w:cs="Times New Roman"/>
          <w:color w:val="FF0000"/>
          <w:sz w:val="24"/>
          <w:szCs w:val="24"/>
          <w:lang w:val="uk-UA"/>
        </w:rPr>
      </w:pPr>
      <w:r>
        <w:rPr>
          <w:rFonts w:cs="Times New Roman" w:ascii="Times New Roman" w:hAnsi="Times New Roman"/>
          <w:color w:val="FF0000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i/>
          <w:sz w:val="24"/>
          <w:szCs w:val="24"/>
          <w:lang w:val="uk-UA"/>
        </w:rPr>
        <w:t>Зміст навчальної дисципліни: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Тема 1. Предмет та задачі стоматології екстремальних ситуацій.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Організація стоматологічної допомоги у збройних силах України.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Тема 2.  Величина і структура санітарних втрат при пораненнях щелепно-лицевої ділянки. Класифікація поранень щелепно-лицевої ділянки.</w:t>
      </w:r>
    </w:p>
    <w:p>
      <w:pPr>
        <w:pStyle w:val="ListBullet2"/>
        <w:spacing w:lineRule="auto" w:line="276"/>
        <w:ind w:left="34" w:hanging="0"/>
        <w:jc w:val="both"/>
        <w:rPr>
          <w:sz w:val="24"/>
          <w:szCs w:val="24"/>
          <w:lang w:val="uk-UA" w:eastAsia="en-US"/>
        </w:rPr>
      </w:pPr>
      <w:r>
        <w:rPr>
          <w:sz w:val="24"/>
          <w:szCs w:val="24"/>
          <w:lang w:val="uk-UA"/>
        </w:rPr>
        <w:t>Тема 3.</w:t>
      </w:r>
      <w:r>
        <w:rPr>
          <w:sz w:val="24"/>
          <w:szCs w:val="24"/>
          <w:lang w:val="uk-UA" w:eastAsia="en-US"/>
        </w:rPr>
        <w:t xml:space="preserve"> Загальна характеристика, клінічний перебіг, діагностика вогнепальних поранень щелепно-лицевої ділянки. Принципи і методи лікування вогнестрільних  поранень щелепно-лицевої ділянки.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Тема 4. Загальна характеристика, клінічний перебіг, діагностика опіків, комбінованих уражень щелепно-лицевої ділянки. Принципи і методи лікування.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Тема 5. Військово-лікарська експертиза при пораненнях та захворюваннях щелепно-лицевої ділянки.</w:t>
      </w:r>
    </w:p>
    <w:p>
      <w:pPr>
        <w:pStyle w:val="Normal"/>
        <w:rPr>
          <w:rFonts w:ascii="Times New Roman" w:hAnsi="Times New Roman" w:cs="Times New Roman"/>
          <w:b/>
          <w:b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i/>
          <w:sz w:val="24"/>
          <w:szCs w:val="24"/>
          <w:lang w:val="uk-UA"/>
        </w:rPr>
        <w:t xml:space="preserve">        </w:t>
      </w:r>
      <w:r>
        <w:rPr>
          <w:rFonts w:cs="Times New Roman" w:ascii="Times New Roman" w:hAnsi="Times New Roman"/>
          <w:b/>
          <w:i/>
          <w:sz w:val="24"/>
          <w:szCs w:val="24"/>
          <w:lang w:val="uk-UA"/>
        </w:rPr>
        <w:t>Перелік рекомендованої літератури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color w:val="595959" w:themeColor="text1" w:themeTint="a6"/>
          <w:sz w:val="24"/>
          <w:szCs w:val="24"/>
        </w:rPr>
        <w:t xml:space="preserve">  </w:t>
      </w:r>
      <w:r>
        <w:rPr>
          <w:rFonts w:eastAsia="Times New Roman" w:ascii="Times New Roman" w:hAnsi="Times New Roman"/>
          <w:sz w:val="24"/>
          <w:szCs w:val="24"/>
        </w:rPr>
        <w:t>1</w:t>
      </w:r>
      <w:r>
        <w:rPr>
          <w:rFonts w:eastAsia="Times New Roman" w:ascii="Times New Roman" w:hAnsi="Times New Roman"/>
          <w:sz w:val="24"/>
          <w:szCs w:val="24"/>
          <w:lang w:val="uk-UA"/>
        </w:rPr>
        <w:t>. Невідкладна військова хірургія. / пер. з англ. — Київ, Наш Формат, 2022. 576 с., іл.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  <w:lang w:val="uk-UA"/>
        </w:rPr>
        <w:t xml:space="preserve">2. </w:t>
      </w:r>
      <w:r>
        <w:rPr>
          <w:rFonts w:eastAsia="Times New Roman" w:ascii="Times New Roman" w:hAnsi="Times New Roman"/>
          <w:sz w:val="24"/>
          <w:szCs w:val="24"/>
        </w:rPr>
        <w:t>Стоматологія : у 2 кн. : підручник. Кн. 2 / М.М. Рожко, І.І. Кириленко,О.Г. Денисенко та ін. ; за ред. М.М. Рожка. — 2-е вид. — К. : ВСВ «Медицина», 2018. — 992 с.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/>
          <w:sz w:val="24"/>
          <w:szCs w:val="24"/>
          <w:lang w:val="en-US"/>
        </w:rPr>
      </w:pPr>
      <w:r>
        <w:rPr>
          <w:rFonts w:eastAsia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ascii="Times New Roman" w:hAnsi="Times New Roman"/>
          <w:sz w:val="24"/>
          <w:szCs w:val="24"/>
          <w:lang w:val="uk-UA"/>
        </w:rPr>
        <w:t>4</w:t>
      </w:r>
      <w:r>
        <w:rPr>
          <w:rFonts w:eastAsia="Times New Roman" w:ascii="Times New Roman" w:hAnsi="Times New Roman"/>
          <w:sz w:val="24"/>
          <w:szCs w:val="24"/>
        </w:rPr>
        <w:t xml:space="preserve">.  </w:t>
      </w:r>
      <w:r>
        <w:rPr>
          <w:rFonts w:cs="Times New Roman" w:ascii="Times New Roman" w:hAnsi="Times New Roman"/>
          <w:color w:val="000000"/>
          <w:sz w:val="24"/>
          <w:szCs w:val="24"/>
          <w:lang w:val="en-US"/>
        </w:rPr>
        <w:t>Operative Oral and Maxillofacial Surgery. Edited By John D. Langdon, Mohan F. Patel, Robert Ord, Peter A. Brennan. Copyright Year 2017</w:t>
      </w:r>
    </w:p>
    <w:p>
      <w:pPr>
        <w:pStyle w:val="NormalWeb"/>
        <w:spacing w:beforeAutospacing="0" w:before="0" w:afterAutospacing="0" w:after="0"/>
        <w:rPr/>
      </w:pPr>
      <w:r>
        <w:rPr>
          <w:color w:val="000000"/>
        </w:rPr>
        <w:t xml:space="preserve">          </w:t>
      </w:r>
      <w:r>
        <w:rPr>
          <w:color w:val="000000"/>
        </w:rPr>
        <w:t>3</w:t>
      </w:r>
      <w:r>
        <w:rPr>
          <w:color w:val="000000"/>
        </w:rPr>
        <w:t xml:space="preserve">. </w:t>
      </w:r>
      <w:r>
        <w:rPr/>
        <w:t>Заруцький Я.Л., Запорожан В.М. та інш.   Воєнно-польова хірургія. – Київ, Фенікс., 2023. – с.285-290.</w:t>
      </w:r>
    </w:p>
    <w:p>
      <w:pPr>
        <w:pStyle w:val="Normal"/>
        <w:shd w:val="clear" w:color="auto" w:fill="FFFFFF"/>
        <w:spacing w:lineRule="auto" w:line="240" w:before="0" w:after="0"/>
        <w:ind w:left="57" w:right="57" w:firstLine="652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uk-UA"/>
        </w:rPr>
        <w:t>Додаткова</w:t>
      </w:r>
    </w:p>
    <w:p>
      <w:pPr>
        <w:pStyle w:val="ListParagraph"/>
        <w:numPr>
          <w:ilvl w:val="0"/>
          <w:numId w:val="6"/>
        </w:numPr>
        <w:jc w:val="both"/>
        <w:rPr>
          <w:lang w:val="uk-UA"/>
        </w:rPr>
      </w:pPr>
      <w:r>
        <w:rPr>
          <w:lang w:val="uk-UA"/>
        </w:rPr>
        <w:t xml:space="preserve">        </w:t>
      </w:r>
      <w:r>
        <w:rPr>
          <w:lang w:val="uk-UA"/>
        </w:rPr>
        <w:t xml:space="preserve">1. Вказівки з воєнно-польової хірургії /під ред.. д.мед.н., проф..Я.Л.Заруцького, </w:t>
      </w:r>
    </w:p>
    <w:p>
      <w:pPr>
        <w:pStyle w:val="ListParagraph"/>
        <w:numPr>
          <w:ilvl w:val="0"/>
          <w:numId w:val="4"/>
        </w:numPr>
        <w:jc w:val="both"/>
        <w:rPr>
          <w:lang w:val="uk-UA"/>
        </w:rPr>
      </w:pPr>
      <w:r>
        <w:rPr>
          <w:lang w:val="uk-UA"/>
        </w:rPr>
        <w:t>д.мед.н. А.А.Шудрака, Київ, 2014, СПД Чалчинська Н.В., - 396 с.</w:t>
      </w:r>
    </w:p>
    <w:p>
      <w:pPr>
        <w:pStyle w:val="Normal"/>
        <w:widowControl w:val="false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</w:t>
      </w:r>
      <w:r>
        <w:rPr>
          <w:rFonts w:cs="Times New Roman" w:ascii="Times New Roman" w:hAnsi="Times New Roman"/>
          <w:sz w:val="24"/>
          <w:szCs w:val="24"/>
          <w:lang w:val="uk-UA"/>
        </w:rPr>
        <w:t>2</w:t>
      </w:r>
      <w:r>
        <w:rPr>
          <w:rFonts w:cs="Times New Roman" w:ascii="Times New Roman" w:hAnsi="Times New Roman"/>
          <w:sz w:val="24"/>
          <w:szCs w:val="24"/>
          <w:lang w:val="en-US"/>
        </w:rPr>
        <w:t>.P.K. Stefanopoulos et al. Wound ballistics of firearm-related injuries–part 2: mechanisms of skeletal injury and characteristics of maxillofacial ballistic trauma Int J Oral Maxillofac Surg (2015)</w:t>
      </w:r>
    </w:p>
    <w:p>
      <w:pPr>
        <w:pStyle w:val="Normal"/>
        <w:widowControl w:val="false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3</w:t>
      </w:r>
      <w:r>
        <w:rPr>
          <w:rFonts w:cs="Times New Roman" w:ascii="Times New Roman" w:hAnsi="Times New Roman"/>
          <w:sz w:val="24"/>
          <w:szCs w:val="24"/>
          <w:lang w:val="en-US"/>
        </w:rPr>
        <w:t>.V.S. Doctor et al. Gunshot wounds to the head and neck Curr Opin Otolaryngol Head Neck Surg (2007)</w:t>
      </w:r>
    </w:p>
    <w:p>
      <w:pPr>
        <w:pStyle w:val="Normal"/>
        <w:rPr>
          <w:rFonts w:ascii="Times New Roman" w:hAnsi="Times New Roman" w:cs="Times New Roman"/>
          <w:b/>
          <w:b/>
          <w:color w:val="002060"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b/>
          <w:color w:val="002060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b/>
          <w:color w:val="002060"/>
          <w:sz w:val="24"/>
          <w:szCs w:val="24"/>
          <w:lang w:val="uk-UA"/>
        </w:rPr>
        <w:t>ОЦІНЮВАННЯ</w:t>
      </w:r>
    </w:p>
    <w:p>
      <w:pPr>
        <w:pStyle w:val="Normal"/>
        <w:rPr>
          <w:rFonts w:ascii="Times New Roman" w:hAnsi="Times New Roman" w:cs="Times New Roman"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i/>
          <w:sz w:val="24"/>
          <w:szCs w:val="24"/>
          <w:lang w:val="uk-UA"/>
        </w:rPr>
        <w:t>Методи поточного контролю</w:t>
      </w:r>
    </w:p>
    <w:p>
      <w:pPr>
        <w:pStyle w:val="Normal"/>
        <w:shd w:val="clear" w:color="auto" w:fill="FFFFFF"/>
        <w:tabs>
          <w:tab w:val="clear" w:pos="708"/>
          <w:tab w:val="left" w:pos="56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</w:t>
      </w:r>
      <w:r>
        <w:rPr>
          <w:rFonts w:cs="Times New Roman" w:ascii="Times New Roman" w:hAnsi="Times New Roman"/>
          <w:sz w:val="24"/>
          <w:szCs w:val="24"/>
          <w:lang w:val="uk-UA"/>
        </w:rPr>
        <w:t>Поточний контроль здійснюється на основі щоденного контролю теоретичних знань, практичних навичок шляхом усного</w:t>
      </w:r>
      <w:r>
        <w:rPr>
          <w:rFonts w:cs="Times New Roman" w:ascii="Times New Roman" w:hAnsi="Times New Roman"/>
          <w:sz w:val="24"/>
          <w:szCs w:val="24"/>
        </w:rPr>
        <w:t xml:space="preserve">  опитування</w:t>
      </w:r>
      <w:r>
        <w:rPr>
          <w:rFonts w:cs="Times New Roman" w:ascii="Times New Roman" w:hAnsi="Times New Roman"/>
          <w:sz w:val="24"/>
          <w:szCs w:val="24"/>
          <w:lang w:val="uk-UA"/>
        </w:rPr>
        <w:t>, комп’ютерного тестування</w:t>
      </w:r>
      <w:r>
        <w:rPr>
          <w:rFonts w:cs="Times New Roman" w:ascii="Times New Roman" w:hAnsi="Times New Roman"/>
          <w:sz w:val="24"/>
          <w:szCs w:val="24"/>
        </w:rPr>
        <w:t>.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Наприкінці вивчення дисципліни поточна успішність  розраховується як середній поточний бал. </w:t>
      </w:r>
    </w:p>
    <w:p>
      <w:pPr>
        <w:pStyle w:val="Normal"/>
        <w:shd w:val="clear" w:color="auto" w:fill="FFFFFF"/>
        <w:tabs>
          <w:tab w:val="clear" w:pos="708"/>
          <w:tab w:val="left" w:pos="56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hd w:val="clear" w:color="auto" w:fill="FFFFFF"/>
        <w:tabs>
          <w:tab w:val="clear" w:pos="708"/>
          <w:tab w:val="left" w:pos="567" w:leader="none"/>
        </w:tabs>
        <w:spacing w:lineRule="auto" w:line="240" w:before="0" w:after="0"/>
        <w:jc w:val="both"/>
        <w:rPr>
          <w:rFonts w:ascii="Times New Roman" w:hAnsi="Times New Roman" w:cs="Times New Roman"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i/>
          <w:sz w:val="24"/>
          <w:szCs w:val="24"/>
          <w:lang w:val="uk-UA"/>
        </w:rPr>
        <w:t>Форми і методи підсумкового контролю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Після закінчення Х семестру здобувачі вищої освіти и складають стандартизований тестовий державний іспит (ліцензійний інтегрований іспит Крок-2 “Стоматологія”) та ОСКІ – об’єктивно структурований клінічний іспит. Метод використовується для оцінки клінічних компетентностей. В основі метода лежить комплексна оцінка кінцевим множенням (10-20) оціночних станцій, що моделюють різні аспекти клінічних компетентностей. Для екзамену використовують різні тренажери і стимулятори, стандартизованих пацієнтів, а також додаткові діагностичні елементи. Суть заключається в створенні для здобувач вищої освіти а клінічних ситуацій, що репродукуються, які дозволяють продемонструвати набуті технічні, дедуктивні (діагностичні, когнітивні) та комунікативні навички. ОСКІ імітують процес обстеження і лікування пацієнтів, тому практичні випробування   на станції ОСКІ представляють собою завдання на інтерпретацію дослідження, оцінку комунікативних навичок (збір анамнезу і т.і.). Станції ОСКІ дозволяють  перевірити клінічну компетентність, пов’язану з самостійною клінічною діяльністю.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i/>
          <w:sz w:val="24"/>
          <w:szCs w:val="24"/>
          <w:lang w:val="uk-UA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i/>
          <w:sz w:val="24"/>
          <w:szCs w:val="24"/>
          <w:lang w:val="uk-UA"/>
        </w:rPr>
        <w:t xml:space="preserve">Самостійна робота здобувач вищої освіти ів       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</w:t>
      </w:r>
      <w:r>
        <w:rPr>
          <w:rFonts w:cs="Times New Roman" w:ascii="Times New Roman" w:hAnsi="Times New Roman"/>
          <w:sz w:val="24"/>
          <w:szCs w:val="24"/>
          <w:lang w:val="uk-UA"/>
        </w:rPr>
        <w:t>Види самостійної роботи здобувачів вищої освіти : підготовка до практичного заняття та вивчення тем, які розглядаються лише в плані самостійної роботи здобувача , пошук та вивчення додаткової літератури, написання рефератів, доповідей для виступів з повідомленнями на практичних заняттях.</w:t>
      </w:r>
    </w:p>
    <w:p>
      <w:pPr>
        <w:pStyle w:val="Normal"/>
        <w:ind w:firstLine="70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eastAsia="Times New Roman" w:cs="Times New Roman" w:ascii="Times New Roman" w:hAnsi="Times New Roman"/>
          <w:b/>
          <w:color w:val="000080"/>
          <w:sz w:val="24"/>
          <w:szCs w:val="24"/>
          <w:lang w:val="uk-UA"/>
        </w:rPr>
        <w:t>ПОЛІТИКА  КУРСУ</w:t>
      </w:r>
      <w:r>
        <w:rPr>
          <w:rFonts w:eastAsia="Times New Roman" w:cs="Times New Roman" w:ascii="Times New Roman" w:hAnsi="Times New Roman"/>
          <w:b/>
          <w:sz w:val="24"/>
          <w:szCs w:val="24"/>
          <w:lang w:val="uk-UA"/>
        </w:rPr>
        <w:t xml:space="preserve">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Політика щодо дедлайнів та перескладання.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Пропущене практичне заняття здобувач вищої освіти  відробляє або у вигляді написання реферату   з теми заняття, або шляхом опитування під час відпрацювання заняття черговому викладачу (двічі на тиждень у четвер і суботу). Пропуски практичних занять здобувач вищої освіти  повинен відпрацювати протягом 2 тижнів.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Політика щодо академічної доброчесності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Дотримання академічної доброчесності здобувачами освіти передбачає самостійне виконання навчальних завдань, завдань поточного та підсумкового контролю результатів навчання.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Неприйнятними у навчальній діяльності учасників освітнього процесу є використання під час контрольних заходів заборонених допоміжних матеріалів або технічних засобів (шпаргалок, мікронавушників, телефонів, смартфонів тощо); проходження процедур контролю результатів навчання підставними особами.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Політика щодо відвідування та запізнень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Здобувач вищої освіти  повинен оволодівати знаннями, виконувати всі види навчальних завдань, проходити всі види навчального контролю, відвідувати всі види і форми занять, що передбачені навчальним планом, не допускаючи пропусків та запізнень.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Відсутність здобувача вищої освіти на практичному занятті відмічається в журналі відвідувань у вигляді відмітки «нб», запізнення – «оп». 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Мобільні пристрої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i/>
          <w:i/>
          <w:strike/>
          <w:color w:val="404040" w:themeColor="text1" w:themeTint="bf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Здобувач вищої освіти  може використовувати технічні засоби (телефони, смартфони, планшети) при </w:t>
      </w:r>
      <w:r>
        <w:rPr>
          <w:rFonts w:cs="Times New Roman" w:ascii="Times New Roman" w:hAnsi="Times New Roman"/>
          <w:color w:val="404040" w:themeColor="text1" w:themeTint="bf"/>
          <w:sz w:val="24"/>
          <w:szCs w:val="24"/>
          <w:lang w:val="uk-UA"/>
        </w:rPr>
        <w:t>складанні</w:t>
      </w:r>
      <w:r>
        <w:rPr>
          <w:rFonts w:cs="Times New Roman" w:ascii="Times New Roman" w:hAnsi="Times New Roman"/>
          <w:i/>
          <w:color w:val="404040" w:themeColor="text1" w:themeTint="bf"/>
          <w:sz w:val="24"/>
          <w:szCs w:val="24"/>
          <w:lang w:val="uk-UA"/>
        </w:rPr>
        <w:t xml:space="preserve">  </w:t>
      </w:r>
      <w:r>
        <w:rPr>
          <w:rFonts w:cs="Times New Roman" w:ascii="Times New Roman" w:hAnsi="Times New Roman"/>
          <w:color w:val="404040" w:themeColor="text1" w:themeTint="bf"/>
          <w:sz w:val="24"/>
          <w:szCs w:val="24"/>
          <w:lang w:val="uk-UA"/>
        </w:rPr>
        <w:t>тестового комп’ютерного контролю.</w:t>
      </w:r>
      <w:r>
        <w:rPr>
          <w:rFonts w:cs="Times New Roman" w:ascii="Times New Roman" w:hAnsi="Times New Roman"/>
          <w:strike/>
          <w:color w:val="404040" w:themeColor="text1" w:themeTint="bf"/>
          <w:sz w:val="24"/>
          <w:szCs w:val="24"/>
          <w:lang w:val="uk-UA"/>
        </w:rPr>
        <w:t xml:space="preserve"> 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Поведінка в аудиторії.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Активна ділова атмосфера</w:t>
      </w:r>
    </w:p>
    <w:p>
      <w:pPr>
        <w:pStyle w:val="Norma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before="0" w:after="200"/>
        <w:rPr>
          <w:lang w:val="en-US"/>
        </w:rPr>
      </w:pPr>
      <w:r>
        <w:rPr/>
      </w:r>
    </w:p>
    <w:sectPr>
      <w:type w:val="nextPage"/>
      <w:pgSz w:w="12240" w:h="15840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Times New Roman">
    <w:charset w:val="01"/>
    <w:family w:val="auto"/>
    <w:pitch w:val="variable"/>
  </w:font>
  <w:font w:name="Courier New">
    <w:charset w:val="01"/>
    <w:family w:val="auto"/>
    <w:pitch w:val="variable"/>
  </w:font>
  <w:font w:name="Wingdings">
    <w:charset w:val="02"/>
    <w:family w:val="auto"/>
    <w:pitch w:val="variable"/>
  </w:font>
  <w:font w:name="Symbol">
    <w:charset w:val="02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4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uk-U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6187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" w:customStyle="1">
    <w:name w:val="Основной текст (2)_"/>
    <w:basedOn w:val="DefaultParagraphFont"/>
    <w:link w:val="21"/>
    <w:qFormat/>
    <w:locked/>
    <w:rsid w:val="00c4041c"/>
    <w:rPr>
      <w:sz w:val="28"/>
      <w:szCs w:val="28"/>
      <w:shd w:fill="FFFFFF" w:val="clear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 Unicode M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rsid w:val="00f61873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Bullet2">
    <w:name w:val="List Bullet 2"/>
    <w:basedOn w:val="Normal"/>
    <w:unhideWhenUsed/>
    <w:qFormat/>
    <w:rsid w:val="00f61873"/>
    <w:pPr>
      <w:suppressAutoHyphens w:val="true"/>
      <w:spacing w:lineRule="auto" w:line="240" w:before="0" w:after="0"/>
      <w:ind w:left="566" w:hanging="283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21" w:customStyle="1">
    <w:name w:val="Основной текст (2)"/>
    <w:basedOn w:val="Normal"/>
    <w:link w:val="20"/>
    <w:qFormat/>
    <w:rsid w:val="00c4041c"/>
    <w:pPr>
      <w:widowControl w:val="false"/>
      <w:shd w:val="clear" w:color="auto" w:fill="FFFFFF"/>
      <w:spacing w:lineRule="exact" w:line="470" w:before="0" w:after="0"/>
      <w:ind w:hanging="380"/>
      <w:jc w:val="both"/>
    </w:pPr>
    <w:rPr>
      <w:sz w:val="28"/>
      <w:szCs w:val="28"/>
      <w:lang w:val="uk-UA"/>
    </w:rPr>
  </w:style>
  <w:style w:type="paragraph" w:styleId="NormalWeb">
    <w:name w:val="Normal (Web)"/>
    <w:basedOn w:val="Normal"/>
    <w:uiPriority w:val="99"/>
    <w:unhideWhenUsed/>
    <w:qFormat/>
    <w:rsid w:val="00c4041c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val="uk-UA" w:eastAsia="uk-U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61873"/>
    <w:pPr>
      <w:spacing w:after="0" w:line="240" w:lineRule="auto"/>
    </w:pPr>
    <w:rPr>
      <w:lang w:val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Application>LibreOffice/7.1.8.1$MacOSX_X86_64 LibreOffice_project/e1f30c802c3269a1d052614453f260e49458c82c</Application>
  <AppVersion>15.0000</AppVersion>
  <Pages>5</Pages>
  <Words>1103</Words>
  <Characters>8054</Characters>
  <CharactersWithSpaces>9172</CharactersWithSpaces>
  <Paragraphs>116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2026-02-02T09:02:00Z</dcterms:created>
  <dc:creator>Гребченко Тетяна Андріївна</dc:creator>
  <dc:description/>
  <dc:language>uk-UA</dc:language>
  <cp:lastModifiedBy/>
  <dcterms:modified xsi:type="dcterms:W3CDTF">2026-02-02T13:42:25Z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