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0C9" w:rsidRPr="003A3487" w:rsidRDefault="00D010C9" w:rsidP="00D010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A3487">
        <w:rPr>
          <w:rFonts w:ascii="Times New Roman" w:hAnsi="Times New Roman"/>
          <w:sz w:val="24"/>
          <w:szCs w:val="24"/>
          <w:lang w:eastAsia="ru-RU"/>
        </w:rPr>
        <w:t>"ЗАТВЕРДЖУЮ"</w:t>
      </w:r>
    </w:p>
    <w:p w:rsidR="00D010C9" w:rsidRPr="003A3487" w:rsidRDefault="00D010C9" w:rsidP="00D010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A3487">
        <w:rPr>
          <w:rFonts w:ascii="Times New Roman" w:hAnsi="Times New Roman"/>
          <w:noProof/>
          <w:sz w:val="24"/>
          <w:szCs w:val="24"/>
          <w:lang w:val="uk-UA" w:eastAsia="uk-UA"/>
        </w:rPr>
        <w:drawing>
          <wp:anchor distT="0" distB="0" distL="114300" distR="114300" simplePos="0" relativeHeight="251659264" behindDoc="0" locked="0" layoutInCell="1" allowOverlap="1" wp14:anchorId="3E69C6DF" wp14:editId="7AFF3492">
            <wp:simplePos x="0" y="0"/>
            <wp:positionH relativeFrom="column">
              <wp:posOffset>1501140</wp:posOffset>
            </wp:positionH>
            <wp:positionV relativeFrom="paragraph">
              <wp:posOffset>30480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3487">
        <w:rPr>
          <w:rFonts w:ascii="Times New Roman" w:hAnsi="Times New Roman"/>
          <w:sz w:val="24"/>
          <w:szCs w:val="24"/>
          <w:lang w:eastAsia="ru-RU"/>
        </w:rPr>
        <w:t xml:space="preserve">Зав. кафедрою </w:t>
      </w:r>
      <w:proofErr w:type="spellStart"/>
      <w:r w:rsidRPr="003A3487">
        <w:rPr>
          <w:rFonts w:ascii="Times New Roman" w:hAnsi="Times New Roman"/>
          <w:sz w:val="24"/>
          <w:szCs w:val="24"/>
          <w:lang w:eastAsia="ru-RU"/>
        </w:rPr>
        <w:t>терапевтичної</w:t>
      </w:r>
      <w:proofErr w:type="spellEnd"/>
      <w:r w:rsidRPr="003A3487">
        <w:rPr>
          <w:rFonts w:ascii="Times New Roman" w:hAnsi="Times New Roman"/>
          <w:sz w:val="24"/>
          <w:szCs w:val="24"/>
          <w:lang w:eastAsia="ru-RU"/>
        </w:rPr>
        <w:t xml:space="preserve"> та</w:t>
      </w:r>
    </w:p>
    <w:p w:rsidR="00D010C9" w:rsidRPr="003A3487" w:rsidRDefault="00D010C9" w:rsidP="00D010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3A3487">
        <w:rPr>
          <w:rFonts w:ascii="Times New Roman" w:hAnsi="Times New Roman"/>
          <w:sz w:val="24"/>
          <w:szCs w:val="24"/>
          <w:lang w:eastAsia="ru-RU"/>
        </w:rPr>
        <w:t>дитячої</w:t>
      </w:r>
      <w:proofErr w:type="spellEnd"/>
      <w:r w:rsidRPr="003A3487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3A3487">
        <w:rPr>
          <w:rFonts w:ascii="Times New Roman" w:hAnsi="Times New Roman"/>
          <w:sz w:val="24"/>
          <w:szCs w:val="24"/>
          <w:lang w:eastAsia="ru-RU"/>
        </w:rPr>
        <w:t>стоматології</w:t>
      </w:r>
      <w:proofErr w:type="spellEnd"/>
      <w:r w:rsidRPr="003A3487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3A3487">
        <w:rPr>
          <w:rFonts w:ascii="Times New Roman" w:hAnsi="Times New Roman"/>
          <w:sz w:val="24"/>
          <w:szCs w:val="24"/>
          <w:lang w:eastAsia="ru-RU"/>
        </w:rPr>
        <w:t xml:space="preserve"> проф. ______ </w:t>
      </w:r>
      <w:proofErr w:type="spellStart"/>
      <w:r w:rsidRPr="003A3487">
        <w:rPr>
          <w:rFonts w:ascii="Times New Roman" w:hAnsi="Times New Roman"/>
          <w:sz w:val="24"/>
          <w:szCs w:val="24"/>
          <w:lang w:eastAsia="ru-RU"/>
        </w:rPr>
        <w:t>Дєньга</w:t>
      </w:r>
      <w:proofErr w:type="spellEnd"/>
      <w:r w:rsidRPr="003A3487">
        <w:rPr>
          <w:rFonts w:ascii="Times New Roman" w:hAnsi="Times New Roman"/>
          <w:sz w:val="24"/>
          <w:szCs w:val="24"/>
          <w:lang w:eastAsia="ru-RU"/>
        </w:rPr>
        <w:t xml:space="preserve"> О.В.</w:t>
      </w:r>
    </w:p>
    <w:p w:rsidR="00D010C9" w:rsidRPr="003A3487" w:rsidRDefault="00D010C9" w:rsidP="00D010C9">
      <w:pPr>
        <w:tabs>
          <w:tab w:val="left" w:pos="6312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A3487">
        <w:rPr>
          <w:rFonts w:ascii="Times New Roman" w:hAnsi="Times New Roman"/>
          <w:sz w:val="24"/>
          <w:szCs w:val="24"/>
          <w:lang w:eastAsia="ru-RU"/>
        </w:rPr>
        <w:t xml:space="preserve">« 27 »  </w:t>
      </w:r>
      <w:proofErr w:type="spellStart"/>
      <w:r w:rsidRPr="003A3487">
        <w:rPr>
          <w:rFonts w:ascii="Times New Roman" w:hAnsi="Times New Roman"/>
          <w:sz w:val="24"/>
          <w:szCs w:val="24"/>
          <w:lang w:eastAsia="ru-RU"/>
        </w:rPr>
        <w:t>серпня</w:t>
      </w:r>
      <w:proofErr w:type="spellEnd"/>
      <w:r w:rsidRPr="003A3487">
        <w:rPr>
          <w:rFonts w:ascii="Times New Roman" w:hAnsi="Times New Roman"/>
          <w:sz w:val="24"/>
          <w:szCs w:val="24"/>
          <w:lang w:eastAsia="ru-RU"/>
        </w:rPr>
        <w:t xml:space="preserve">  2025р.</w:t>
      </w: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281BE7" w:rsidRPr="00D010C9" w:rsidRDefault="00281BE7" w:rsidP="00281B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281BE7" w:rsidRDefault="00281BE7" w:rsidP="00281BE7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281BE7" w:rsidRPr="00027056" w:rsidRDefault="00281BE7" w:rsidP="00281BE7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754597" w:rsidRDefault="00281BE7" w:rsidP="00281BE7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281BE7">
        <w:rPr>
          <w:rFonts w:ascii="Times New Roman" w:hAnsi="Times New Roman"/>
          <w:sz w:val="28"/>
          <w:szCs w:val="28"/>
          <w:lang w:val="uk-UA"/>
        </w:rPr>
        <w:t xml:space="preserve">Тематичний </w:t>
      </w:r>
      <w:r w:rsidR="0036158E">
        <w:rPr>
          <w:rFonts w:ascii="Times New Roman" w:hAnsi="Times New Roman"/>
          <w:sz w:val="28"/>
          <w:szCs w:val="28"/>
          <w:lang w:val="uk-UA"/>
        </w:rPr>
        <w:t>план практичних занять здобувачів</w:t>
      </w:r>
      <w:bookmarkStart w:id="0" w:name="_GoBack"/>
      <w:bookmarkEnd w:id="0"/>
      <w:r w:rsidRPr="00281BE7">
        <w:rPr>
          <w:rFonts w:ascii="Times New Roman" w:hAnsi="Times New Roman"/>
          <w:sz w:val="28"/>
          <w:szCs w:val="28"/>
          <w:lang w:val="uk-UA"/>
        </w:rPr>
        <w:t xml:space="preserve"> 4 курсу в осінньому семестрі 202</w:t>
      </w:r>
      <w:r w:rsidR="000523F8">
        <w:rPr>
          <w:rFonts w:ascii="Times New Roman" w:hAnsi="Times New Roman"/>
          <w:sz w:val="28"/>
          <w:szCs w:val="28"/>
          <w:lang w:val="uk-UA"/>
        </w:rPr>
        <w:t>5</w:t>
      </w:r>
      <w:r w:rsidRPr="00281BE7">
        <w:rPr>
          <w:rFonts w:ascii="Times New Roman" w:hAnsi="Times New Roman"/>
          <w:sz w:val="28"/>
          <w:szCs w:val="28"/>
          <w:lang w:val="uk-UA"/>
        </w:rPr>
        <w:t>/2</w:t>
      </w:r>
      <w:r w:rsidR="000523F8">
        <w:rPr>
          <w:rFonts w:ascii="Times New Roman" w:hAnsi="Times New Roman"/>
          <w:sz w:val="28"/>
          <w:szCs w:val="28"/>
          <w:lang w:val="uk-UA"/>
        </w:rPr>
        <w:t>6</w:t>
      </w:r>
      <w:r w:rsidRPr="00281BE7">
        <w:rPr>
          <w:rFonts w:ascii="Times New Roman" w:hAnsi="Times New Roman"/>
          <w:sz w:val="28"/>
          <w:szCs w:val="28"/>
          <w:lang w:val="uk-UA"/>
        </w:rPr>
        <w:t xml:space="preserve"> навчального року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3"/>
        <w:gridCol w:w="7579"/>
        <w:gridCol w:w="843"/>
      </w:tblGrid>
      <w:tr w:rsidR="00E557F5" w:rsidRPr="00E557F5" w:rsidTr="0071569C">
        <w:tc>
          <w:tcPr>
            <w:tcW w:w="494" w:type="pct"/>
          </w:tcPr>
          <w:p w:rsidR="00E557F5" w:rsidRPr="00E557F5" w:rsidRDefault="00E557F5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  <w:t>№</w:t>
            </w:r>
          </w:p>
        </w:tc>
        <w:tc>
          <w:tcPr>
            <w:tcW w:w="4055" w:type="pct"/>
          </w:tcPr>
          <w:p w:rsidR="00E557F5" w:rsidRPr="00E557F5" w:rsidRDefault="00E557F5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  <w:t>Назва теми</w:t>
            </w:r>
          </w:p>
        </w:tc>
        <w:tc>
          <w:tcPr>
            <w:tcW w:w="451" w:type="pct"/>
          </w:tcPr>
          <w:p w:rsidR="00E557F5" w:rsidRPr="00E557F5" w:rsidRDefault="00E557F5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  <w:t>Кіл-</w:t>
            </w:r>
            <w:proofErr w:type="spellStart"/>
            <w:r w:rsidRPr="00E557F5"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  <w:t>ть</w:t>
            </w:r>
            <w:proofErr w:type="spellEnd"/>
            <w:r w:rsidRPr="00E557F5"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  <w:t xml:space="preserve"> годин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B76BD7" w:rsidRDefault="00B76BD7" w:rsidP="00B76B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«Захворювання тканин пародонту»</w:t>
            </w:r>
          </w:p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 xml:space="preserve">Тема 1. 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Організація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пародонтологічного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кабінету (відділення), його оснащення та необхідні лікарські засоби. Техніка безпеки. Пародонт. Визначення поняття. Анатомія, гістологія, фізіологія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, захисні механізми.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2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Захворювання тканин пародонту. Термінологія, класифікації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хвороб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М.Ф.Данілевського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І.С.Мащенка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, МКХ-10. Позитивні якості та недоліки.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 xml:space="preserve">Тема 3. 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Особливості клінічного обстеження хворих з патологією тканин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 Основні клінічні методи.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 xml:space="preserve">Тема 4. 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Спеціальні клінічні методи діагностики захворювань пародонту. Індексна оцінка стану тканин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: гігієнічні індекси – Федорова-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Володкіної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та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Green-Vermillion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гінгівальні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індекси – проба Шиллера-Писарєва, індекс гінгівіту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Silnes-Loe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індекс РМА ( в модифікації 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Parma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).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5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Функціональні методи діагностики хворих </w:t>
            </w:r>
            <w:r w:rsidR="00120547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з патологією тканин </w:t>
            </w:r>
            <w:proofErr w:type="spellStart"/>
            <w:r w:rsidR="00120547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="00120547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(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стоматоскопія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капіляроскопія, проба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В.І.Кулаженко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реопародонтографія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).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Рентгендіагностика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хворих з патологією тканин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Лабораторні методи обстеження хворих з патологією тканин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Цитологічні (змив за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М.Ф.Ясиновським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), морфологічні, мікробіологічні, імунологічні методи діагностики.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6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Етіологія, патогенез запальних захворювань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Вклад вітчизняних вчених (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Є.В.Удовицька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Г.М.Вишняк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М.Ф.Данилевський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П.Т.Максименко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І.С.Мащенко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Г.Ф.Білоклицька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та ін.).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7.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Папіліт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Гінгівіт. Класифікація. Етіологія і патогенез. Роль місцевих і загальних факторів. Клініка, діагностика, лікування та профілактика катарального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гінгівіта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E1088F">
        <w:trPr>
          <w:trHeight w:val="511"/>
        </w:trPr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8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Виразково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-некротичний гінгівіт. Клініка, діагностика, лікування та профілактика.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9.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Гіпертрофічний гінгівіт. Клініка, діагностика, лікування та профілактика.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10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Локалізований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  Клініка, діагностика, лікування та профілактика.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11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Етіологія і патогенез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дистрофічно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-запальних захворювань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Роль місцевих і загальних факторів. Механізм утворення ясенних і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пародонтальних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кишень.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Генералізований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 Загальні ознаки захворювання. Клініка, діагностика.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12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Генералізований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Роль спеціальних методів діагностики ( індексна оцінка стану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діагностичні проби). Функціональні і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лобораторні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методи діагностики при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генералізованому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пародонтиті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13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Діагностика та диференціальна діагностика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генералізованого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пародонтиту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різних ступенів тяжкості. Особливості перебігу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генералізованого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пародонтиту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у хворих з супутньою патологією.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14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Пародонтоз. Клініка, діагностика,  диференційна діагностика.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Ідіопатичні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захворювання тканин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15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Загальні принципи лікування хворих на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генералізований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 Складання плану лікування.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16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Терапевтичні місцеві втручання у хворих при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генералізованому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пародонтиті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 Інструментарій, методика видалення зубних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відкладень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ручним (механічним ) способом. Апаратний. Хімічний та комбінований способи видалення зубних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відкладень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17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Використання лікарських речовин для місцевої терапії, механізм дії. Способи застосування.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Пародонтальні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пов’язки. Види. Показання до застосування.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18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Хірургічні місцеві втручання.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Кюретаж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Показання. Методики. Види. Хірургічні місцеві втручання.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Гінгівотомія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гінгівектомія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 Показання. Методики. Види. Способи ліквідації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пародонтальних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кишень та рецесії ясен.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19.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Ортопедичні місцеві втручання. Усунення травматичної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оклюзії.Вибіркове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пришліфовування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зубів. Тимчасове і постійне шинування. Показання. Методика проведення.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20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Лікування пародонтозу. Методи усунення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гіперестезії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21.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Використання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електропроцедур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в комплексному лікуванні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хворобпародонта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Електрофорез, дарсонвалізація, діатермокоагуляція.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Флюктуоризація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,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діадинамичні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струми, УВЧ-терапія та ін.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22.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Застосування парафіну, озокериту, водних та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грязевих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процедур.Вакуум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-терапія в лікуванні захворювань пародонту. Застосування інфрачервоного, ультрафіолетового, лазерного опромінення та біотрону в комплексному лікуванні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хвороб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rPr>
          <w:trHeight w:val="434"/>
        </w:trPr>
        <w:tc>
          <w:tcPr>
            <w:tcW w:w="494" w:type="pct"/>
            <w:vMerge w:val="restart"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23.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 Загальна фармакотерапія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пародонтиту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 Ціль. Різновиди. Лікарські препарати, що використовуються для лікування хворих.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24.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Профілактика захворювань тканин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Етіологічні та патогенетичні підходи до профілактики. Суспільні заходи профілактики захворювань пародонту. Індивідуальні заходи профілактики захворювань тканин 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E1088F" w:rsidRPr="00E557F5" w:rsidTr="0071569C">
        <w:tc>
          <w:tcPr>
            <w:tcW w:w="494" w:type="pct"/>
            <w:vMerge/>
          </w:tcPr>
          <w:p w:rsidR="00E1088F" w:rsidRPr="00E557F5" w:rsidRDefault="00E1088F" w:rsidP="00E557F5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E1088F" w:rsidRPr="00E557F5" w:rsidRDefault="00E1088F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E557F5">
              <w:rPr>
                <w:rFonts w:ascii="Times New Roman" w:hAnsi="Times New Roman"/>
                <w:b/>
                <w:sz w:val="20"/>
                <w:szCs w:val="20"/>
                <w:lang w:val="uk-UA" w:eastAsia="uk-UA"/>
              </w:rPr>
              <w:t>Тема 25</w:t>
            </w:r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Диспансеризація хворих із патологією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. Загальні принципи. Оцінка ефективності диспансеризації. Якісні та кількісні показники роботи лікаря-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пародонтолога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. Документація. Складання алгоритмів діагностики та лікування </w:t>
            </w:r>
            <w:proofErr w:type="spellStart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>заворювань</w:t>
            </w:r>
            <w:proofErr w:type="spellEnd"/>
            <w:r w:rsidRPr="00E557F5">
              <w:rPr>
                <w:rFonts w:ascii="Times New Roman" w:hAnsi="Times New Roman"/>
                <w:sz w:val="20"/>
                <w:szCs w:val="20"/>
                <w:lang w:val="uk-UA" w:eastAsia="uk-UA"/>
              </w:rPr>
              <w:t xml:space="preserve"> пародонту. </w:t>
            </w:r>
          </w:p>
        </w:tc>
        <w:tc>
          <w:tcPr>
            <w:tcW w:w="451" w:type="pct"/>
          </w:tcPr>
          <w:p w:rsidR="00E1088F" w:rsidRPr="00E557F5" w:rsidRDefault="00E1088F" w:rsidP="00E557F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sz w:val="24"/>
                <w:szCs w:val="20"/>
                <w:lang w:val="uk-UA" w:eastAsia="ru-RU"/>
              </w:rPr>
              <w:t>2</w:t>
            </w:r>
          </w:p>
        </w:tc>
      </w:tr>
      <w:tr w:rsidR="00500D12" w:rsidRPr="00E557F5" w:rsidTr="0071569C">
        <w:tc>
          <w:tcPr>
            <w:tcW w:w="494" w:type="pct"/>
            <w:vMerge w:val="restart"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8920B7"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11.</w:t>
            </w:r>
          </w:p>
        </w:tc>
        <w:tc>
          <w:tcPr>
            <w:tcW w:w="4055" w:type="pct"/>
          </w:tcPr>
          <w:p w:rsidR="00B76BD7" w:rsidRPr="00B76BD7" w:rsidRDefault="00B76BD7" w:rsidP="00B76B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val="uk-UA" w:eastAsia="ru-RU"/>
              </w:rPr>
            </w:pPr>
            <w:r w:rsidRPr="00B76BD7">
              <w:rPr>
                <w:rFonts w:ascii="Times New Roman" w:eastAsia="Calibri" w:hAnsi="Times New Roman"/>
                <w:b/>
                <w:sz w:val="20"/>
                <w:szCs w:val="20"/>
                <w:lang w:val="uk-UA" w:eastAsia="ru-RU"/>
              </w:rPr>
              <w:t>«Захворювання СОПР»</w:t>
            </w:r>
          </w:p>
          <w:p w:rsidR="00500D12" w:rsidRPr="00500D12" w:rsidRDefault="00500D12" w:rsidP="00BC1B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Анатомо-фізіологічні, гістологічні особливості слизової оболонки порожнини рота та червоної кайми губ. Захисні фактори. Слина, її склад і фізіологічна роль. </w:t>
            </w:r>
          </w:p>
          <w:p w:rsidR="00500D12" w:rsidRPr="008920B7" w:rsidRDefault="00500D12" w:rsidP="00BC1B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51" w:type="pct"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500D12" w:rsidRPr="00E557F5" w:rsidTr="0071569C">
        <w:tc>
          <w:tcPr>
            <w:tcW w:w="494" w:type="pct"/>
            <w:vMerge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500D12" w:rsidRPr="008920B7" w:rsidRDefault="00500D12" w:rsidP="00500D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Класифікації захворювань слизової оболонки порожнин рота (</w:t>
            </w:r>
            <w:proofErr w:type="spellStart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М.Ф.Данилевський</w:t>
            </w:r>
            <w:proofErr w:type="spellEnd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, </w:t>
            </w:r>
            <w:proofErr w:type="spellStart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П.Т.Максименко</w:t>
            </w:r>
            <w:proofErr w:type="spellEnd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, МКХ-10).</w:t>
            </w:r>
          </w:p>
        </w:tc>
        <w:tc>
          <w:tcPr>
            <w:tcW w:w="451" w:type="pct"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500D12" w:rsidRPr="00E557F5" w:rsidTr="0071569C">
        <w:tc>
          <w:tcPr>
            <w:tcW w:w="494" w:type="pct"/>
            <w:vMerge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500D12" w:rsidRPr="008920B7" w:rsidRDefault="00500D12" w:rsidP="00B76B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Особливості обстеження хворих із захворюваннями СОПР. Первинні та вторинні елементи ураження. </w:t>
            </w:r>
          </w:p>
        </w:tc>
        <w:tc>
          <w:tcPr>
            <w:tcW w:w="451" w:type="pct"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500D12" w:rsidRPr="00E557F5" w:rsidTr="0071569C">
        <w:tc>
          <w:tcPr>
            <w:tcW w:w="494" w:type="pct"/>
            <w:vMerge w:val="restart"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8920B7"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12.</w:t>
            </w:r>
          </w:p>
        </w:tc>
        <w:tc>
          <w:tcPr>
            <w:tcW w:w="4055" w:type="pct"/>
          </w:tcPr>
          <w:p w:rsidR="00500D12" w:rsidRPr="008920B7" w:rsidRDefault="00B76BD7" w:rsidP="00E557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Лабораторні методи діагностики основних стоматологічних захворювань. Методи збору матеріалу для цитологічного та бактеріологічного дослідження хворих.</w:t>
            </w:r>
          </w:p>
        </w:tc>
        <w:tc>
          <w:tcPr>
            <w:tcW w:w="451" w:type="pct"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500D12" w:rsidRPr="00E557F5" w:rsidTr="0071569C">
        <w:tc>
          <w:tcPr>
            <w:tcW w:w="494" w:type="pct"/>
            <w:vMerge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500D12" w:rsidRPr="008920B7" w:rsidRDefault="00B76BD7" w:rsidP="00500D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Травматичні ураження слизової оболонки порожнин рота (механічна, хімічна, фізична, електрична травми). Променеві ураження. Етіологія, патогенез, клініка, діагностика, лікування та профілактика.</w:t>
            </w:r>
          </w:p>
        </w:tc>
        <w:tc>
          <w:tcPr>
            <w:tcW w:w="451" w:type="pct"/>
          </w:tcPr>
          <w:p w:rsidR="00500D12" w:rsidRPr="008920B7" w:rsidRDefault="00B76BD7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500D12" w:rsidRPr="00E557F5" w:rsidTr="0071569C">
        <w:tc>
          <w:tcPr>
            <w:tcW w:w="494" w:type="pct"/>
            <w:vMerge/>
          </w:tcPr>
          <w:p w:rsidR="00500D12" w:rsidRPr="008920B7" w:rsidRDefault="00500D12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500D12" w:rsidRPr="008920B7" w:rsidRDefault="00B76BD7" w:rsidP="00500D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Первинні ауто інфекційні стоматити. Гострий </w:t>
            </w:r>
            <w:proofErr w:type="spellStart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герпетичний</w:t>
            </w:r>
            <w:proofErr w:type="spellEnd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 стоматит. Етіологія, патогенез, клініка, діагностика, лікування, профілактика.</w:t>
            </w:r>
          </w:p>
        </w:tc>
        <w:tc>
          <w:tcPr>
            <w:tcW w:w="451" w:type="pct"/>
          </w:tcPr>
          <w:p w:rsidR="00500D12" w:rsidRPr="008920B7" w:rsidRDefault="00B76BD7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B76BD7" w:rsidRPr="00E557F5" w:rsidTr="0071569C">
        <w:tc>
          <w:tcPr>
            <w:tcW w:w="494" w:type="pct"/>
            <w:vMerge w:val="restart"/>
          </w:tcPr>
          <w:p w:rsidR="00B76BD7" w:rsidRPr="008920B7" w:rsidRDefault="00B76BD7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8920B7"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13.</w:t>
            </w:r>
          </w:p>
        </w:tc>
        <w:tc>
          <w:tcPr>
            <w:tcW w:w="4055" w:type="pct"/>
          </w:tcPr>
          <w:p w:rsidR="00B76BD7" w:rsidRPr="008920B7" w:rsidRDefault="00B76BD7" w:rsidP="00E557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Гострий </w:t>
            </w:r>
            <w:proofErr w:type="spellStart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афтозний</w:t>
            </w:r>
            <w:proofErr w:type="spellEnd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 </w:t>
            </w:r>
            <w:proofErr w:type="spellStart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стоматит.Гострий</w:t>
            </w:r>
            <w:proofErr w:type="spellEnd"/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 xml:space="preserve"> катаральний стоматит. Етіологія, патогенез, клініка, діагностика, лікування, профілактика.</w:t>
            </w:r>
          </w:p>
        </w:tc>
        <w:tc>
          <w:tcPr>
            <w:tcW w:w="451" w:type="pct"/>
          </w:tcPr>
          <w:p w:rsidR="00B76BD7" w:rsidRPr="008920B7" w:rsidRDefault="00B76BD7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B76BD7" w:rsidRPr="00E557F5" w:rsidTr="0071569C">
        <w:tc>
          <w:tcPr>
            <w:tcW w:w="494" w:type="pct"/>
            <w:vMerge/>
          </w:tcPr>
          <w:p w:rsidR="00B76BD7" w:rsidRPr="008920B7" w:rsidRDefault="00B76BD7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B76BD7" w:rsidRPr="00500D12" w:rsidRDefault="00B76BD7" w:rsidP="00E557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Гострий  виразковий стоматит. Етіологія, патогенез, клініка, діагностика, лікування, профілактика.</w:t>
            </w:r>
          </w:p>
        </w:tc>
        <w:tc>
          <w:tcPr>
            <w:tcW w:w="451" w:type="pct"/>
          </w:tcPr>
          <w:p w:rsidR="00B76BD7" w:rsidRPr="008920B7" w:rsidRDefault="00B76BD7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B76BD7" w:rsidRPr="00E557F5" w:rsidTr="0071569C">
        <w:tc>
          <w:tcPr>
            <w:tcW w:w="494" w:type="pct"/>
            <w:vMerge/>
          </w:tcPr>
          <w:p w:rsidR="00B76BD7" w:rsidRPr="008920B7" w:rsidRDefault="00B76BD7" w:rsidP="00E557F5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B76BD7" w:rsidRPr="00500D12" w:rsidRDefault="00B76BD7" w:rsidP="00E557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</w:pPr>
            <w:r w:rsidRPr="00500D12">
              <w:rPr>
                <w:rFonts w:ascii="Times New Roman" w:eastAsia="Calibri" w:hAnsi="Times New Roman"/>
                <w:sz w:val="20"/>
                <w:szCs w:val="20"/>
                <w:lang w:val="uk-UA" w:eastAsia="ru-RU"/>
              </w:rPr>
              <w:t>Грибкові ураження слизової оболонки порожнин рота. Етіологія, патогенез, клініка, діагностика, лікування, профілактика.</w:t>
            </w:r>
          </w:p>
        </w:tc>
        <w:tc>
          <w:tcPr>
            <w:tcW w:w="451" w:type="pct"/>
          </w:tcPr>
          <w:p w:rsidR="00B76BD7" w:rsidRPr="008920B7" w:rsidRDefault="00B76BD7" w:rsidP="00E557F5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uk-UA" w:eastAsia="ru-RU"/>
              </w:rPr>
              <w:t>2</w:t>
            </w:r>
          </w:p>
        </w:tc>
      </w:tr>
      <w:tr w:rsidR="008920B7" w:rsidRPr="00E557F5" w:rsidTr="0071569C">
        <w:tc>
          <w:tcPr>
            <w:tcW w:w="494" w:type="pct"/>
          </w:tcPr>
          <w:p w:rsidR="008920B7" w:rsidRPr="00E557F5" w:rsidRDefault="008920B7" w:rsidP="008920B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4055" w:type="pct"/>
          </w:tcPr>
          <w:p w:rsidR="008920B7" w:rsidRPr="00E557F5" w:rsidRDefault="008920B7" w:rsidP="008920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</w:pPr>
            <w:r w:rsidRPr="00E557F5"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  <w:t xml:space="preserve">Разом </w:t>
            </w:r>
          </w:p>
        </w:tc>
        <w:tc>
          <w:tcPr>
            <w:tcW w:w="451" w:type="pct"/>
          </w:tcPr>
          <w:p w:rsidR="008920B7" w:rsidRPr="00E557F5" w:rsidRDefault="00B76BD7" w:rsidP="008920B7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uk-UA" w:eastAsia="ru-RU"/>
              </w:rPr>
              <w:t>68</w:t>
            </w:r>
          </w:p>
        </w:tc>
      </w:tr>
    </w:tbl>
    <w:p w:rsidR="00281BE7" w:rsidRDefault="00034CBA" w:rsidP="00281BE7">
      <w:pPr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Дати проведення занять: </w:t>
      </w:r>
    </w:p>
    <w:p w:rsidR="00034CBA" w:rsidRDefault="00034CBA" w:rsidP="00034CBA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</w:t>
      </w:r>
      <w:r w:rsidR="00501DEA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гр. – </w:t>
      </w:r>
      <w:r w:rsidR="00501DEA">
        <w:rPr>
          <w:rFonts w:ascii="Times New Roman" w:hAnsi="Times New Roman"/>
          <w:sz w:val="28"/>
          <w:szCs w:val="28"/>
          <w:lang w:val="uk-UA"/>
        </w:rPr>
        <w:t>1</w:t>
      </w:r>
      <w:r>
        <w:rPr>
          <w:rFonts w:ascii="Times New Roman" w:hAnsi="Times New Roman"/>
          <w:sz w:val="28"/>
          <w:szCs w:val="28"/>
          <w:lang w:val="uk-UA"/>
        </w:rPr>
        <w:t>.09. – 17.09.</w:t>
      </w:r>
    </w:p>
    <w:p w:rsidR="00034CBA" w:rsidRDefault="00034CBA" w:rsidP="00034CBA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2 гр. – </w:t>
      </w:r>
      <w:r w:rsidR="00501DEA">
        <w:rPr>
          <w:rFonts w:ascii="Times New Roman" w:hAnsi="Times New Roman"/>
          <w:sz w:val="28"/>
          <w:szCs w:val="28"/>
          <w:lang w:val="uk-UA"/>
        </w:rPr>
        <w:t>10</w:t>
      </w:r>
      <w:r>
        <w:rPr>
          <w:rFonts w:ascii="Times New Roman" w:hAnsi="Times New Roman"/>
          <w:sz w:val="28"/>
          <w:szCs w:val="28"/>
          <w:lang w:val="uk-UA"/>
        </w:rPr>
        <w:t>.1</w:t>
      </w:r>
      <w:r w:rsidR="00501DEA">
        <w:rPr>
          <w:rFonts w:ascii="Times New Roman" w:hAnsi="Times New Roman"/>
          <w:sz w:val="28"/>
          <w:szCs w:val="28"/>
          <w:lang w:val="uk-UA"/>
        </w:rPr>
        <w:t>2</w:t>
      </w:r>
      <w:r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="00501DEA">
        <w:rPr>
          <w:rFonts w:ascii="Times New Roman" w:hAnsi="Times New Roman"/>
          <w:sz w:val="28"/>
          <w:szCs w:val="28"/>
          <w:lang w:val="uk-UA"/>
        </w:rPr>
        <w:t>26</w:t>
      </w:r>
      <w:r>
        <w:rPr>
          <w:rFonts w:ascii="Times New Roman" w:hAnsi="Times New Roman"/>
          <w:sz w:val="28"/>
          <w:szCs w:val="28"/>
          <w:lang w:val="uk-UA"/>
        </w:rPr>
        <w:t>.1</w:t>
      </w:r>
      <w:r w:rsidR="00501DEA">
        <w:rPr>
          <w:rFonts w:ascii="Times New Roman" w:hAnsi="Times New Roman"/>
          <w:sz w:val="28"/>
          <w:szCs w:val="28"/>
          <w:lang w:val="uk-UA"/>
        </w:rPr>
        <w:t>2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="00500D1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BA7A81" w:rsidRDefault="00BA7A81" w:rsidP="00BA7A81">
      <w:pPr>
        <w:rPr>
          <w:rFonts w:ascii="Times New Roman" w:hAnsi="Times New Roman"/>
          <w:sz w:val="28"/>
          <w:szCs w:val="28"/>
          <w:lang w:val="uk-UA"/>
        </w:rPr>
      </w:pPr>
      <w:r>
        <w:rPr>
          <w:noProof/>
          <w:lang w:val="uk-UA" w:eastAsia="uk-UA"/>
        </w:rPr>
        <w:drawing>
          <wp:anchor distT="0" distB="0" distL="114300" distR="114300" simplePos="0" relativeHeight="251661312" behindDoc="0" locked="0" layoutInCell="1" allowOverlap="1" wp14:anchorId="33382C6C" wp14:editId="0D0D0B12">
            <wp:simplePos x="0" y="0"/>
            <wp:positionH relativeFrom="column">
              <wp:posOffset>2926080</wp:posOffset>
            </wp:positionH>
            <wp:positionV relativeFrom="paragraph">
              <wp:posOffset>261620</wp:posOffset>
            </wp:positionV>
            <wp:extent cx="1021715" cy="869315"/>
            <wp:effectExtent l="0" t="0" r="6985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1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DEA">
        <w:rPr>
          <w:rFonts w:ascii="Times New Roman" w:hAnsi="Times New Roman"/>
          <w:sz w:val="28"/>
          <w:szCs w:val="28"/>
          <w:lang w:val="uk-UA"/>
        </w:rPr>
        <w:t xml:space="preserve">3  гр. – 21.11 – 9.12. </w:t>
      </w:r>
    </w:p>
    <w:p w:rsidR="00BA7A81" w:rsidRPr="00BA7A81" w:rsidRDefault="00BA7A81" w:rsidP="00BA7A81">
      <w:pPr>
        <w:ind w:left="6237" w:hanging="6946"/>
        <w:rPr>
          <w:rFonts w:ascii="Times New Roman" w:hAnsi="Times New Roman"/>
          <w:sz w:val="28"/>
          <w:szCs w:val="28"/>
          <w:lang w:val="uk-UA"/>
        </w:rPr>
      </w:pPr>
      <w:r w:rsidRPr="00BA7A81">
        <w:rPr>
          <w:rFonts w:ascii="Times New Roman" w:hAnsi="Times New Roman"/>
          <w:sz w:val="28"/>
          <w:szCs w:val="28"/>
          <w:lang w:val="uk-UA"/>
        </w:rPr>
        <w:t xml:space="preserve">Завуч кафедри стоматології дитячого віку,        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  </w:t>
      </w:r>
      <w:r w:rsidRPr="00BA7A81">
        <w:rPr>
          <w:rFonts w:ascii="Times New Roman" w:hAnsi="Times New Roman"/>
          <w:sz w:val="28"/>
          <w:szCs w:val="28"/>
          <w:lang w:val="uk-UA"/>
        </w:rPr>
        <w:t>Ірина  ТАРАСЕНКО</w:t>
      </w:r>
    </w:p>
    <w:p w:rsidR="00BA7A81" w:rsidRPr="00BA7A81" w:rsidRDefault="00BA7A81" w:rsidP="00BA7A81">
      <w:pPr>
        <w:rPr>
          <w:rFonts w:ascii="Times New Roman" w:hAnsi="Times New Roman"/>
          <w:sz w:val="28"/>
          <w:szCs w:val="28"/>
          <w:lang w:val="uk-UA"/>
        </w:rPr>
      </w:pPr>
    </w:p>
    <w:p w:rsidR="00BA7A81" w:rsidRPr="000C6199" w:rsidRDefault="00BA7A81" w:rsidP="00BA7A81">
      <w:pPr>
        <w:rPr>
          <w:lang w:val="uk-UA"/>
        </w:rPr>
      </w:pPr>
    </w:p>
    <w:p w:rsidR="00BA7A81" w:rsidRPr="00281BE7" w:rsidRDefault="00BA7A81" w:rsidP="00034CBA">
      <w:pPr>
        <w:rPr>
          <w:rFonts w:ascii="Times New Roman" w:hAnsi="Times New Roman"/>
          <w:sz w:val="28"/>
          <w:szCs w:val="28"/>
          <w:lang w:val="uk-UA"/>
        </w:rPr>
      </w:pPr>
    </w:p>
    <w:sectPr w:rsidR="00BA7A81" w:rsidRPr="00281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40C44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3BA"/>
    <w:rsid w:val="00034CBA"/>
    <w:rsid w:val="000523F8"/>
    <w:rsid w:val="00120547"/>
    <w:rsid w:val="00191947"/>
    <w:rsid w:val="00281BE7"/>
    <w:rsid w:val="0036158E"/>
    <w:rsid w:val="00500D12"/>
    <w:rsid w:val="00501DEA"/>
    <w:rsid w:val="00587177"/>
    <w:rsid w:val="006C23BA"/>
    <w:rsid w:val="00754597"/>
    <w:rsid w:val="008920B7"/>
    <w:rsid w:val="00B76BD7"/>
    <w:rsid w:val="00BA7A81"/>
    <w:rsid w:val="00BC1B35"/>
    <w:rsid w:val="00D010C9"/>
    <w:rsid w:val="00E1088F"/>
    <w:rsid w:val="00E5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17C3A"/>
  <w15:chartTrackingRefBased/>
  <w15:docId w15:val="{E16EEA25-49D3-46B5-A0C7-82CF78D8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BE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4061</Words>
  <Characters>2316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Ірина Йосипівна Тарасенко</cp:lastModifiedBy>
  <cp:revision>6</cp:revision>
  <dcterms:created xsi:type="dcterms:W3CDTF">2025-09-23T18:39:00Z</dcterms:created>
  <dcterms:modified xsi:type="dcterms:W3CDTF">2026-03-08T18:42:00Z</dcterms:modified>
</cp:coreProperties>
</file>