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3C2E6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МІНІСТЕРСТВО ОХОРОНИ ЗДОРОВ’Я УКРАЇНИ</w:t>
      </w:r>
    </w:p>
    <w:p w14:paraId="4AA8AF5F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ОДЕСЬКИЙ НАЦІОНАЛЬНИЙ МЕДИЧНИЙ УНІВЕРСИТЕТ</w:t>
      </w:r>
    </w:p>
    <w:p w14:paraId="0CACF70C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Кафедра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онкології,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реконструктивної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хірургії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</w:p>
    <w:p w14:paraId="5BFD3782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радіології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та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радіаційної медицини </w:t>
      </w:r>
    </w:p>
    <w:tbl>
      <w:tblPr>
        <w:tblStyle w:val="167"/>
        <w:tblpPr w:leftFromText="180" w:rightFromText="180" w:vertAnchor="text" w:horzAnchor="page" w:tblpX="3379" w:tblpY="240"/>
        <w:tblW w:w="7828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2"/>
        <w:gridCol w:w="5466"/>
      </w:tblGrid>
      <w:tr w14:paraId="3B3E11C4">
        <w:trPr>
          <w:trHeight w:val="2815" w:hRule="atLeast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731DC">
            <w:pPr>
              <w:spacing w:after="0" w:line="360" w:lineRule="auto"/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1C0C845">
            <w:pPr>
              <w:spacing w:after="0" w:line="360" w:lineRule="auto"/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FE8F1">
            <w:pPr>
              <w:pStyle w:val="16"/>
              <w:widowControl w:val="0"/>
              <w:spacing w:after="0" w:line="360" w:lineRule="auto"/>
              <w:ind w:firstLine="0"/>
              <w:rPr>
                <w:rFonts w:hint="default" w:ascii="Times New Roman Regular" w:hAnsi="Times New Roman Regular" w:cs="Times New Roman Regular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2283247">
            <w:pPr>
              <w:pStyle w:val="16"/>
              <w:widowControl w:val="0"/>
              <w:spacing w:after="0" w:line="360" w:lineRule="auto"/>
              <w:ind w:firstLine="1261" w:firstLineChars="450"/>
              <w:rPr>
                <w:rFonts w:hint="default" w:ascii="Times New Roman Regular" w:hAnsi="Times New Roman Regular" w:cs="Times New Roman Regular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ЗАТВЕРДЖУЮ</w:t>
            </w:r>
          </w:p>
          <w:p w14:paraId="4B1DA7A2">
            <w:pPr>
              <w:pStyle w:val="9"/>
              <w:widowControl w:val="0"/>
              <w:spacing w:before="0" w:line="360" w:lineRule="auto"/>
              <w:rPr>
                <w:rFonts w:hint="default" w:ascii="Times New Roman Regular" w:hAnsi="Times New Roman Regular" w:eastAsia="Times New Roman" w:cs="Times New Roman Regular"/>
                <w:i/>
                <w:iCs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  <w:t>Про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ректор з науково-педагогічної роботи</w:t>
            </w:r>
          </w:p>
          <w:p w14:paraId="0395FED2">
            <w:pPr>
              <w:pStyle w:val="9"/>
              <w:widowControl w:val="0"/>
              <w:spacing w:before="0" w:line="360" w:lineRule="auto"/>
              <w:ind w:hanging="1440"/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</w:pPr>
          </w:p>
          <w:p w14:paraId="4BB4C386">
            <w:pPr>
              <w:pStyle w:val="9"/>
              <w:widowControl w:val="0"/>
              <w:spacing w:before="0" w:line="360" w:lineRule="auto"/>
              <w:ind w:hanging="1440"/>
              <w:jc w:val="center"/>
              <w:rPr>
                <w:rFonts w:hint="default" w:ascii="Times New Roman Regular" w:hAnsi="Times New Roman Regular" w:eastAsia="Times New Roman" w:cs="Times New Roman Regular"/>
                <w:i/>
                <w:iCs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  <w:t>___________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  <w:t>_________Едуард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caps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  <w:t>Бурячківський</w:t>
            </w:r>
          </w:p>
          <w:p w14:paraId="70BDC511">
            <w:pPr>
              <w:pStyle w:val="13"/>
              <w:widowControl w:val="0"/>
              <w:spacing w:after="0" w:line="360" w:lineRule="auto"/>
              <w:jc w:val="both"/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ru-RU"/>
                <w14:textFill>
                  <w14:solidFill>
                    <w14:schemeClr w14:val="tx1"/>
                  </w14:solidFill>
                </w14:textFill>
              </w:rPr>
              <w:t>«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______»  _________________  202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ru-RU"/>
                <w14:textFill>
                  <w14:solidFill>
                    <w14:schemeClr w14:val="tx1"/>
                  </w14:solidFill>
                </w14:textFill>
              </w:rPr>
              <w:t>року</w:t>
            </w:r>
          </w:p>
        </w:tc>
      </w:tr>
    </w:tbl>
    <w:p w14:paraId="18BA3415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0C3F9D7">
      <w:pPr>
        <w:jc w:val="center"/>
      </w:pPr>
      <w:r>
        <w:br w:type="textWrapping"/>
      </w:r>
      <w:r>
        <w:br w:type="textWrapping"/>
      </w:r>
    </w:p>
    <w:p w14:paraId="004DB8B5">
      <w:pPr>
        <w:jc w:val="center"/>
      </w:pPr>
    </w:p>
    <w:p w14:paraId="7116C7E8">
      <w:pPr>
        <w:jc w:val="center"/>
      </w:pPr>
    </w:p>
    <w:p w14:paraId="09FBD697">
      <w:pPr>
        <w:jc w:val="center"/>
      </w:pPr>
    </w:p>
    <w:p w14:paraId="40416B4D">
      <w:pPr>
        <w:jc w:val="both"/>
      </w:pPr>
    </w:p>
    <w:p w14:paraId="71BEB1A9">
      <w:pPr>
        <w:jc w:val="center"/>
      </w:pPr>
    </w:p>
    <w:p w14:paraId="25065DB0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М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етодична розробка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до практичного заняття</w:t>
      </w:r>
    </w:p>
    <w:p w14:paraId="42D9181C">
      <w:pPr>
        <w:spacing w:after="0" w:line="360" w:lineRule="auto"/>
        <w:jc w:val="center"/>
        <w:outlineLvl w:val="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здобувачів вищої освіти</w:t>
      </w:r>
      <w:r>
        <w:rPr>
          <w:rFonts w:hint="default"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/>
          <w:bCs/>
          <w:cap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 навчальної дисципліни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1D858C4D">
      <w:pPr>
        <w:spacing w:after="0" w:line="360" w:lineRule="auto"/>
        <w:ind w:firstLine="1542" w:firstLineChars="550"/>
        <w:jc w:val="both"/>
        <w:outlineLvl w:val="0"/>
        <w:rPr>
          <w:rFonts w:hint="default" w:ascii="Times New Roman Bold" w:hAnsi="Times New Roman Bold" w:eastAsia="Times New Roman" w:cs="Times New Roman Bold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«Загальна хірургія» 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Факультет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медичний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>V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курс</w:t>
      </w:r>
    </w:p>
    <w:p w14:paraId="2AD9096A">
      <w:pPr>
        <w:jc w:val="both"/>
      </w:pPr>
    </w:p>
    <w:p w14:paraId="1BEDA94B">
      <w:pPr>
        <w:spacing w:after="0" w:line="360" w:lineRule="auto"/>
        <w:jc w:val="right"/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Затверджено:</w:t>
      </w:r>
    </w:p>
    <w:p w14:paraId="2A2FCDE7">
      <w:pPr>
        <w:spacing w:after="0" w:line="360" w:lineRule="auto"/>
        <w:ind w:firstLine="700" w:firstLineChars="250"/>
        <w:jc w:val="both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95A80B">
      <w:pPr>
        <w:spacing w:after="0" w:line="360" w:lineRule="auto"/>
        <w:ind w:firstLine="700" w:firstLineChars="250"/>
        <w:jc w:val="both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Засіданням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к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афедра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онкології,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реконструктивної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хірургії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</w:t>
      </w:r>
    </w:p>
    <w:p w14:paraId="7AF34AB6">
      <w:pPr>
        <w:spacing w:after="0" w:line="36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радіології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та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радіаційної медицини Одеського національного медичного університету</w:t>
      </w:r>
    </w:p>
    <w:p w14:paraId="5A3D61AC">
      <w:pPr>
        <w:tabs>
          <w:tab w:val="left" w:leader="underscore" w:pos="3229"/>
          <w:tab w:val="left" w:leader="underscore" w:pos="5574"/>
        </w:tabs>
        <w:spacing w:after="0" w:line="360" w:lineRule="auto"/>
        <w:jc w:val="right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E54230">
      <w:pPr>
        <w:tabs>
          <w:tab w:val="left" w:leader="underscore" w:pos="3229"/>
          <w:tab w:val="left" w:leader="underscore" w:pos="5574"/>
        </w:tabs>
        <w:spacing w:after="0" w:line="36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Протокол № ___ від “___” ____________ 20__ р.</w:t>
      </w:r>
    </w:p>
    <w:p w14:paraId="0C4CF36B">
      <w:pPr>
        <w:jc w:val="center"/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Завідувач кафедри  _____________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Олег Герасименко</w:t>
      </w:r>
      <w:r>
        <w:rPr>
          <w:rFonts w:hint="default" w:ascii="Times New Roman Regular" w:hAnsi="Times New Roman Regular" w:cs="Times New Roman Regular"/>
          <w:sz w:val="28"/>
          <w:szCs w:val="28"/>
        </w:rPr>
        <w:br w:type="textWrapping"/>
      </w:r>
    </w:p>
    <w:p w14:paraId="3A4F4B5C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Одеса 2025</w:t>
      </w:r>
      <w:r>
        <w:br w:type="textWrapping"/>
      </w:r>
      <w:r>
        <w:br w:type="textWrapping"/>
      </w:r>
      <w:r>
        <w:br w:type="textWrapping"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  <w14:textFill>
            <w14:solidFill>
              <w14:schemeClr w14:val="tx1"/>
            </w14:solidFill>
          </w14:textFill>
        </w:rPr>
        <w:t xml:space="preserve">Розробники: </w:t>
      </w:r>
    </w:p>
    <w:p w14:paraId="0F0AEC9B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Герасименко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Олег Сергійович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проф., д.мед.н.</w:t>
      </w:r>
    </w:p>
    <w:p w14:paraId="5A1A5B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Єнін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Роман Вікторович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ас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к.мед.н. </w:t>
      </w:r>
    </w:p>
    <w:p w14:paraId="3123A42A">
      <w:pPr>
        <w:spacing w:after="0" w:line="240" w:lineRule="auto"/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Квасневський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Євген Анатолійович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доц., к.мед.н. </w:t>
      </w:r>
    </w:p>
    <w:p w14:paraId="3F5DBF64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Гайда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Ярослав Іванович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ас, к.мед.н. </w:t>
      </w:r>
    </w:p>
    <w:p w14:paraId="459A5AB1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</w:p>
    <w:p w14:paraId="0EC39C36">
      <w:pPr>
        <w:rPr>
          <w:rFonts w:ascii="Times New Roman" w:hAnsi="Times New Roman"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br w:type="page"/>
      </w:r>
    </w:p>
    <w:p w14:paraId="71FC5CFF">
      <w:pPr>
        <w:widowControl w:val="0"/>
        <w:spacing w:after="0" w:line="240" w:lineRule="auto"/>
        <w:jc w:val="center"/>
        <w:rPr>
          <w:rFonts w:hint="default" w:ascii="Times New Roman Regular" w:hAnsi="Times New Roman Regular" w:cs="Times New Roman Regular"/>
          <w:b/>
          <w:bCs/>
          <w:cap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П</w:t>
      </w:r>
      <w:r>
        <w:rPr>
          <w:rFonts w:hint="default" w:ascii="Times New Roman Regular" w:hAnsi="Times New Roman Regular" w:cs="Times New Roman Regular"/>
          <w:b/>
          <w:bCs/>
          <w:cap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рактичні заняття</w:t>
      </w:r>
    </w:p>
    <w:p w14:paraId="6C88B22A">
      <w:pPr>
        <w:widowControl w:val="0"/>
        <w:spacing w:after="0" w:line="240" w:lineRule="auto"/>
        <w:jc w:val="center"/>
        <w:rPr>
          <w:rFonts w:hint="default" w:ascii="Times New Roman Regular" w:hAnsi="Times New Roman Regular" w:cs="Times New Roman Regular"/>
          <w:b/>
          <w:bCs/>
          <w:cap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</w:p>
    <w:p w14:paraId="5304C123">
      <w:pPr>
        <w:pStyle w:val="35"/>
        <w:keepNext w:val="0"/>
        <w:keepLines w:val="0"/>
        <w:widowControl/>
        <w:suppressLineNumbers w:val="0"/>
        <w:suppressAutoHyphens/>
        <w:autoSpaceDE/>
        <w:autoSpaceDN w:val="0"/>
        <w:spacing w:before="9" w:beforeAutospacing="0" w:after="0" w:afterAutospacing="0"/>
        <w:ind w:left="0" w:right="283" w:firstLine="567"/>
        <w:jc w:val="both"/>
        <w:rPr>
          <w:rFonts w:hint="default" w:ascii="Times New Roman Regular" w:hAnsi="Times New Roman Regular" w:cs="Times New Roman Regular"/>
          <w:b/>
          <w:bCs w:val="0"/>
          <w:sz w:val="28"/>
          <w:szCs w:val="28"/>
          <w:lang w:val="ru"/>
        </w:rPr>
      </w:pPr>
      <w:r>
        <w:rPr>
          <w:rFonts w:hint="default" w:ascii="Times New Roman Regular" w:hAnsi="Times New Roman Regular" w:cs="Times New Roman Regular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Тема </w:t>
      </w:r>
      <w:r>
        <w:rPr>
          <w:rFonts w:hint="default" w:ascii="Times New Roman Regular" w:hAnsi="Times New Roman Regular" w:eastAsia="新宋体" w:cs="Times New Roman Regular"/>
          <w:b/>
          <w:bCs w:val="0"/>
          <w:kern w:val="3"/>
          <w:sz w:val="28"/>
          <w:szCs w:val="28"/>
          <w:lang w:val="ru" w:eastAsia="zh-CN" w:bidi="ar"/>
        </w:rPr>
        <w:t xml:space="preserve"> 6. Високоенергетичні вогнепальні поранення.</w:t>
      </w:r>
    </w:p>
    <w:p w14:paraId="3AE586F2">
      <w:pPr>
        <w:pStyle w:val="35"/>
        <w:keepNext w:val="0"/>
        <w:keepLines w:val="0"/>
        <w:widowControl/>
        <w:suppressLineNumbers w:val="0"/>
        <w:suppressAutoHyphens/>
        <w:autoSpaceDE/>
        <w:autoSpaceDN w:val="0"/>
        <w:spacing w:before="0" w:beforeAutospacing="0" w:after="140" w:afterAutospacing="0" w:line="276" w:lineRule="auto"/>
        <w:ind w:left="0" w:right="0" w:firstLine="624"/>
        <w:jc w:val="both"/>
        <w:rPr>
          <w:rFonts w:hint="default" w:ascii="Times New Roman Regular" w:hAnsi="Times New Roman Regular" w:cs="Times New Roman Regular"/>
          <w:sz w:val="28"/>
          <w:szCs w:val="28"/>
          <w:lang w:val="ru"/>
        </w:rPr>
      </w:pPr>
      <w:r>
        <w:rPr>
          <w:rFonts w:hint="default" w:ascii="Times New Roman Regular" w:hAnsi="Times New Roman Regular" w:eastAsia="新宋体" w:cs="Times New Roman Regular"/>
          <w:kern w:val="3"/>
          <w:sz w:val="28"/>
          <w:szCs w:val="28"/>
          <w:lang w:val="ru" w:eastAsia="zh-CN" w:bidi="ar"/>
        </w:rPr>
        <w:t>Види мін та інших снарядів вибухової дії, механізм впливу на організм людини. Фактори вибуху, їх значення в пербігу ранового процесу. Вибухові поранення, класифікація, види пошкоджень внаслідок дії високоенергетичної зброї. Етапне надання хірургічної допомоги при вибухових пораненнях, тактика «</w:t>
      </w:r>
      <w:r>
        <w:rPr>
          <w:rFonts w:hint="default" w:ascii="Times New Roman Regular" w:hAnsi="Times New Roman Regular" w:eastAsia="新宋体" w:cs="Times New Roman Regular"/>
          <w:kern w:val="3"/>
          <w:sz w:val="28"/>
          <w:szCs w:val="28"/>
          <w:lang w:val="en-US" w:eastAsia="zh-CN" w:bidi="ar"/>
        </w:rPr>
        <w:t>damage control surgery</w:t>
      </w:r>
      <w:r>
        <w:rPr>
          <w:rFonts w:hint="default" w:ascii="Times New Roman Regular" w:hAnsi="Times New Roman Regular" w:eastAsia="新宋体" w:cs="Times New Roman Regular"/>
          <w:kern w:val="3"/>
          <w:sz w:val="28"/>
          <w:szCs w:val="28"/>
          <w:lang w:val="ru" w:eastAsia="zh-CN" w:bidi="ar"/>
        </w:rPr>
        <w:t>».</w:t>
      </w:r>
    </w:p>
    <w:p w14:paraId="08E1D807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</w:rPr>
        <w:t>Мета</w:t>
      </w:r>
      <w:r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  <w:t xml:space="preserve">. </w:t>
      </w:r>
      <w:r>
        <w:rPr>
          <w:rFonts w:hint="default" w:ascii="Times New Roman Regular" w:hAnsi="Times New Roman Regular"/>
          <w:sz w:val="28"/>
          <w:szCs w:val="28"/>
        </w:rPr>
        <w:t>Поглибити знання про характер високоенергетичних поранень та вибухових травм, їх механізм дії на організм людини, особливості перебігу ранового процесу, класифікацію та види пошкоджень. Ознайомитися з сучасними принципами надання поетапної хірургічної допомоги, включно з концепцією «damage control surgery».</w:t>
      </w:r>
    </w:p>
    <w:p w14:paraId="57F0C856">
      <w:pPr>
        <w:spacing w:after="0" w:line="240" w:lineRule="auto"/>
        <w:jc w:val="both"/>
        <w:rPr>
          <w:rFonts w:hint="default" w:ascii="Times New Roman Bold" w:hAnsi="Times New Roman Bold" w:cs="Times New Roman Bold"/>
          <w:b/>
          <w:bCs/>
          <w:sz w:val="28"/>
          <w:szCs w:val="28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</w:rPr>
        <w:t>Очікувані результати</w:t>
      </w:r>
    </w:p>
    <w:p w14:paraId="4FDC3F3F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Здобувачі повинні знати:</w:t>
      </w:r>
    </w:p>
    <w:p w14:paraId="440796F2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Визначення та сутність високоенергетичних вогнепальних і вибухових поранень.</w:t>
      </w:r>
    </w:p>
    <w:p w14:paraId="43A0392B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Види мін та інших вибухових боєприпасів, механізм їх дії.</w:t>
      </w:r>
    </w:p>
    <w:p w14:paraId="5F2CE542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Фактори вибуху та їхній вплив на організм.</w:t>
      </w:r>
    </w:p>
    <w:p w14:paraId="2298DF8B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Класифікацію вибухових поранень та пошкоджень.</w:t>
      </w:r>
    </w:p>
    <w:p w14:paraId="0051286F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Основні принципи та етапність хірургічної допомоги при вибухових пораненнях.</w:t>
      </w:r>
    </w:p>
    <w:p w14:paraId="48866169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Сутність та фази тактики «damage control surgery».</w:t>
      </w:r>
    </w:p>
    <w:p w14:paraId="03FEAEED">
      <w:pPr>
        <w:spacing w:after="0" w:line="240" w:lineRule="auto"/>
        <w:jc w:val="both"/>
        <w:rPr>
          <w:rFonts w:hint="default" w:ascii="Times New Roman Bold" w:hAnsi="Times New Roman Bold" w:cs="Times New Roman Bold"/>
          <w:b/>
          <w:bCs/>
          <w:sz w:val="28"/>
          <w:szCs w:val="28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</w:rPr>
        <w:t>Здобувачі повинні вміти:</w:t>
      </w:r>
    </w:p>
    <w:p w14:paraId="608557B9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Класифікувати вибухові поранення та їх наслідки.</w:t>
      </w:r>
    </w:p>
    <w:p w14:paraId="399760F6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Пояснити механізм впливу вибухових факторів на організм.</w:t>
      </w:r>
    </w:p>
    <w:p w14:paraId="1D892059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Використовувати базову термінологію щодо вибухових уражень.</w:t>
      </w:r>
    </w:p>
    <w:p w14:paraId="52BCA4B7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Аналізувати клінічні приклади з надання допомоги при мінно-вибухових пораненнях.</w:t>
      </w:r>
    </w:p>
    <w:p w14:paraId="0B7231F5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Обґрунтовувати застосування тактики «damage control surgery» у конкретних клінічних ситуаціях.</w:t>
      </w:r>
    </w:p>
    <w:p w14:paraId="3940BCDF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Основні поняття</w:t>
      </w:r>
    </w:p>
    <w:p w14:paraId="61332B3E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❑ Високоенергетичні вогнепальні поранення.</w:t>
      </w:r>
    </w:p>
    <w:p w14:paraId="68EF18FB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❑ Міни та вибухові снаряди, їх класифікація.</w:t>
      </w:r>
    </w:p>
    <w:p w14:paraId="4DD37058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❑ Фактори вибуху (ударна хвиля, уламки, blast-вітер, термічні та хімічні фактори).</w:t>
      </w:r>
    </w:p>
    <w:p w14:paraId="4E27CE82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❑ Вибухові поранення: класифікація (primary, secondary, tertiary, quaternary, quinary).</w:t>
      </w:r>
    </w:p>
    <w:p w14:paraId="75CEFDBE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❑ Damage control resuscitation та damage control surgery.</w:t>
      </w:r>
    </w:p>
    <w:p w14:paraId="73E9E3E0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❑ Етапність надання допомоги при вибухових ураженнях.</w:t>
      </w:r>
    </w:p>
    <w:p w14:paraId="61BDCE7A">
      <w:pPr>
        <w:spacing w:after="0" w:line="240" w:lineRule="auto"/>
        <w:jc w:val="both"/>
        <w:rPr>
          <w:rFonts w:hint="default" w:ascii="Times New Roman Bold" w:hAnsi="Times New Roman Bold" w:cs="Times New Roman Bold"/>
          <w:b/>
          <w:bCs/>
          <w:sz w:val="28"/>
          <w:szCs w:val="28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</w:rPr>
        <w:t>Обладнання</w:t>
      </w:r>
    </w:p>
    <w:p w14:paraId="68851C13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Стенди, презентації з видами мін та боєприпасів, наукова та клінічна література, фото- і відеоматеріали, приклади сучасних підходів до хірургії вибухових травм.</w:t>
      </w:r>
    </w:p>
    <w:p w14:paraId="64794D2C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</w:rPr>
        <w:t>Навчальний час</w:t>
      </w:r>
      <w:r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  <w:t xml:space="preserve"> </w:t>
      </w:r>
      <w:r>
        <w:rPr>
          <w:rFonts w:hint="default" w:ascii="Times New Roman Regular" w:hAnsi="Times New Roman Regular"/>
          <w:sz w:val="28"/>
          <w:szCs w:val="28"/>
        </w:rPr>
        <w:t>4 години.</w:t>
      </w:r>
    </w:p>
    <w:p w14:paraId="5CC08677">
      <w:pPr>
        <w:spacing w:after="0" w:line="240" w:lineRule="auto"/>
        <w:jc w:val="both"/>
        <w:rPr>
          <w:rFonts w:hint="default" w:ascii="Times New Roman Bold" w:hAnsi="Times New Roman Bold" w:cs="Times New Roman Bold"/>
          <w:b/>
          <w:bCs/>
          <w:sz w:val="28"/>
          <w:szCs w:val="28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</w:rPr>
        <w:t>План заняття</w:t>
      </w:r>
    </w:p>
    <w:p w14:paraId="039D1534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І. Організаційний момент:</w:t>
      </w:r>
    </w:p>
    <w:p w14:paraId="51D1992C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Привітання, перевірка присутніх, повідомлення теми та мети заняття, мотивація студентів.</w:t>
      </w:r>
    </w:p>
    <w:p w14:paraId="160D3A6E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ІІ. Контроль опорних знань:</w:t>
      </w:r>
    </w:p>
    <w:p w14:paraId="13722159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Тестування, письмова робота, аналіз ситуаційних задач, фронтальне опитування.</w:t>
      </w:r>
    </w:p>
    <w:p w14:paraId="09A80518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ІІІ. Основна частина:</w:t>
      </w:r>
    </w:p>
    <w:p w14:paraId="047CAF49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Визначення високоенергетичних вогнепальних поранень.</w:t>
      </w:r>
    </w:p>
    <w:p w14:paraId="238B7BCD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Види мін та інших вибухових боєприпасів, їх механізм дії.</w:t>
      </w:r>
    </w:p>
    <w:p w14:paraId="7A679A0B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Фактори вибуху та їх значення в перебігу ранового процесу.</w:t>
      </w:r>
    </w:p>
    <w:p w14:paraId="2181651E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Класифікація вибухових поранень, основні типи пошкоджень.</w:t>
      </w:r>
    </w:p>
    <w:p w14:paraId="52AA8BE0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Етапне надання хірургічної допомоги при вибухових пораненнях.</w:t>
      </w:r>
    </w:p>
    <w:p w14:paraId="5E2AE228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Тактика «damage control surgery» — суть, фази, приклади застосування.</w:t>
      </w:r>
    </w:p>
    <w:p w14:paraId="36B5BB89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IV. Підсумки заняття:</w:t>
      </w:r>
    </w:p>
    <w:p w14:paraId="5B9C5344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Обговорення ключових висновків, відповіді на запитання студентів, підведення підсумків.</w:t>
      </w:r>
    </w:p>
    <w:p w14:paraId="0BE3AA58">
      <w:pPr>
        <w:spacing w:after="0" w:line="240" w:lineRule="auto"/>
        <w:jc w:val="both"/>
        <w:rPr>
          <w:rFonts w:hint="default" w:ascii="Times New Roman Regular" w:hAnsi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V. Домашнє завдання:</w:t>
      </w:r>
    </w:p>
    <w:p w14:paraId="2794F0FA">
      <w:pPr>
        <w:spacing w:after="0" w:line="240" w:lineRule="auto"/>
        <w:jc w:val="both"/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/>
          <w:sz w:val="28"/>
          <w:szCs w:val="28"/>
        </w:rPr>
        <w:t>Опрацювати сучасну літературу з військової хірургії та тактики damage control surgery. Підготувати повідомлення про один із клінічних випадків мінно-вибухової травми та обґрунтувати тактику надання допомоги.</w:t>
      </w:r>
      <w:r>
        <w:rPr>
          <w:rFonts w:hint="default" w:ascii="Times New Roman Regular" w:hAnsi="Times New Roman Regular" w:cs="Times New Roman Regular"/>
          <w:sz w:val="28"/>
          <w:szCs w:val="28"/>
        </w:rPr>
        <w:br w:type="textWrapping"/>
      </w:r>
    </w:p>
    <w:p w14:paraId="0848BF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jc w:val="both"/>
        <w:textAlignment w:val="auto"/>
        <w:rPr>
          <w:rFonts w:hint="default" w:ascii="Times New Roman Regular" w:hAnsi="Times New Roman Regular" w:cs="Times New Roman Regular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Зміст теми</w:t>
      </w:r>
    </w:p>
    <w:p w14:paraId="541E7AB9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Міна — це вибуховий боєприпас, спеціально призначений для прихованого встановлення на місцевості, у ґрунті, снігу, воді чи на поверхнях, і для приведення в дію від безпосереднього контакту з людиною, технікою або під дією дистанційного керування.</w:t>
      </w:r>
    </w:p>
    <w:p w14:paraId="125E88C8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Основна особливість міни — прихованість: вона встановлюється так, щоб у момент наближення цілі вибухнути автоматично чи під керуванням.</w:t>
      </w:r>
    </w:p>
    <w:p w14:paraId="644312FC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Призначення: ураження особового складу, бойової техніки, транспорту, створення перешкод для маневру.</w:t>
      </w:r>
    </w:p>
    <w:p w14:paraId="3D21D484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 w:firstLine="140" w:firstLineChars="5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Основні види:</w:t>
      </w:r>
    </w:p>
    <w:p w14:paraId="44CD17E9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Протипіхотні (призначені для ураження людей).</w:t>
      </w:r>
    </w:p>
    <w:p w14:paraId="488B156E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Протитанкові (спрямовані на ураження машин і бронетехніки).</w:t>
      </w:r>
    </w:p>
    <w:p w14:paraId="71085284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Спеціальні (морські, інженерні, сигнальні, протидесантні).</w:t>
      </w:r>
    </w:p>
    <w:p w14:paraId="3EDC7340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Види мін та вибухових боєприпасів</w:t>
      </w:r>
    </w:p>
    <w:p w14:paraId="6EDE33B9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1. Протипіхотні міни:</w:t>
      </w:r>
    </w:p>
    <w:p w14:paraId="40F0F09C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Фугасні (blast type) – вибухають під ногою чи колесом, головний фактор ураження – вибухова хвиля та підрив ґрунту. Викликають масивні руйнування стопи, гомілки, травматичні ампутації, множинні переломи.</w:t>
      </w:r>
    </w:p>
    <w:p w14:paraId="4BCE9747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Осколкові (fragmentation type) – начинені металевими елементами; після вибуху утворюють зону ураження десятками або сотнями уламків. Викликають множинні проникаючі поранення тулуба, обличчя, шиї, кінцівок.</w:t>
      </w:r>
    </w:p>
    <w:p w14:paraId="72C4F58A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«Підстрибуючі» (bounding mines) – піднімаються у повітря на висоту 0,5–1,5 м, після чого вибухають, розсіюючи уламки у великому радіусі; особливо небезпечні для групи людей.</w:t>
      </w:r>
    </w:p>
    <w:p w14:paraId="140296CE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Спрямовані (directional, типу Claymore) – створюють віялоподібний сектор ураження щільним фронтом уламків.</w:t>
      </w:r>
    </w:p>
    <w:p w14:paraId="4C1F2BBC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2. Протитанкові міни</w:t>
      </w:r>
    </w:p>
    <w:p w14:paraId="0983F4C0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Розраховані на ураження техніки, але при дії на людину формують катастрофічні травми: масивні руйнування кінцівок, комбіновані пошкодження тулуба, опіки та контузії.</w:t>
      </w:r>
    </w:p>
    <w:p w14:paraId="6B0D52D4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3. Артилерійські та авіаційні боєприпаси</w:t>
      </w:r>
    </w:p>
    <w:p w14:paraId="1CBC652D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Фугасні снаряди утворюють велику ударну хвилю й уламкову дію; касетні боєприпаси – масивне множинне осколкове ураження.</w:t>
      </w:r>
    </w:p>
    <w:p w14:paraId="1415709B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4. Імпровізовані вибухові пристрої (IED)</w:t>
      </w:r>
    </w:p>
    <w:p w14:paraId="52DF8130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Ці фактори формують тяжкий перебіг ранового процесу: масивний мікробний засів, велика кількість девіталізованих тканин, ризик розвитку газової гангрени, некротизивних інфекцій, сепсису. Додатково формується «фатальна тріада» (гіпотермія, ацидоз, коагулопатія), що різко підвищує летальність.</w:t>
      </w:r>
    </w:p>
    <w:p w14:paraId="28412D07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Класифікація вибухових уражень</w:t>
      </w:r>
    </w:p>
    <w:p w14:paraId="51B27B9C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Первинні — дія ударної хвилі (легені, вуха, порожнисті органи).</w:t>
      </w:r>
    </w:p>
    <w:p w14:paraId="5C95757F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Вторинні — уламки та вторинні снаряди (осколкові поранення).</w:t>
      </w:r>
    </w:p>
    <w:p w14:paraId="073A4CFC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Третинні — кидання тіла вибухом (переломи, черепно-мозкові травми).</w:t>
      </w:r>
    </w:p>
    <w:p w14:paraId="184BEFBA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Четвертинні — опіки, інтоксикації, інгаляційні ураження.</w:t>
      </w:r>
    </w:p>
    <w:p w14:paraId="6ADCB631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Квазінарні (quinary) — системна запальна відповідь на нетипові хімічні домішки у вибухівці.</w:t>
      </w:r>
    </w:p>
    <w:p w14:paraId="7193DEDB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Етапне надання допомоги</w:t>
      </w:r>
    </w:p>
    <w:p w14:paraId="35D52073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Тактична медицина (TCCC, алгоритм MARCH):</w:t>
      </w:r>
    </w:p>
    <w:p w14:paraId="3D180440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Massive hemorrhage — зупинка кровотечі турнікетами, гемостатичними пов’язками, прямим тиском.</w:t>
      </w:r>
    </w:p>
    <w:p w14:paraId="1128AD50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Airway — забезпечення прохідності дихальних шляхів (назофарингеальна трубка, конікотомія).</w:t>
      </w:r>
    </w:p>
    <w:p w14:paraId="3CA59B25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Respiration — оклюзійні пов’язки при відкритому пневмотораксі, голкова декомпресія при напруженому.</w:t>
      </w:r>
    </w:p>
    <w:p w14:paraId="5A46B345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Circulation — пермісивна гіпотензія (за відсутності ЧМТ), раннє введення крові чи компонентів, TXA.</w:t>
      </w:r>
    </w:p>
    <w:p w14:paraId="735E2EA3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Hypothermia/Head injury — профілактика переохолодження, контроль ЧМТ, знеболення, антибіотики, швидка евакуація.</w:t>
      </w:r>
    </w:p>
    <w:p w14:paraId="51202983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На госпітальному етапі застосовують принципи damage control resuscitation (DCR):</w:t>
      </w:r>
    </w:p>
    <w:p w14:paraId="477BAB9E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контроль кровотечі;</w:t>
      </w:r>
    </w:p>
    <w:p w14:paraId="74744A65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мінімізація кристалоїдних розчинів;</w:t>
      </w:r>
    </w:p>
    <w:p w14:paraId="1F41224D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раннє переливання крові та плазми;</w:t>
      </w:r>
    </w:p>
    <w:p w14:paraId="59BB233A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корекція ацидозу, гіпотермії, коагулопатії.</w:t>
      </w:r>
    </w:p>
    <w:p w14:paraId="1DC07E8D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Damage Control Surgery (DCS)</w:t>
      </w:r>
    </w:p>
    <w:p w14:paraId="64015BE0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Термін «Damage Control» походить з військово-морської практики США і означав «локалізацію пошкоджень на кораблі, щоб запобігти його затопленню». Ця ідея була перенесена в медицину, де мета також полягала не у «повному ремонті» одразу, а у швидкому контролі життєво небезпечних ушкоджень, щоб зберегти життя пацієнта. Перші спостереження: ще у 1940–1950-х роках хірурги відзначали, що при тяжких абдомінальних пораненнях повноцінна і тривала операція часто закінчується смертю пацієнта через гіпотермію, коагулопатію та ацидоз (так звана «фатальна тріада»).</w:t>
      </w:r>
    </w:p>
    <w:p w14:paraId="555C9956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1970-ті роки: з’явилися поодинокі роботи, де рекомендувалося «обмежене ушивання» або «тампонада кровотечі» у нестабільних пацієнтів з подальшою повторною операцією.</w:t>
      </w:r>
    </w:p>
    <w:p w14:paraId="1C5DE65C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1983 рік — поворотний момент: Rotondo та колеги описали серію випадків із застосуванням концепції «damage control» у травматології. Вони довели, що тимчасове припинення операції після контролю кровотечі і забруднення з наступною реанімацією у відділенні інтенсивної терапії дозволяє значно знизити летальність.</w:t>
      </w:r>
    </w:p>
    <w:p w14:paraId="0138C23C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1993 рік: вийшла класична стаття Rotondo M.F. і Schwab C.W., яка остаточно ввела термін Damage Control Surgery у хірургію. Автори описали алгоритм з трьома етапами:</w:t>
      </w:r>
    </w:p>
    <w:p w14:paraId="0EE97608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Швидка лапаротомія – контроль кровотечі, усунення забруднення, тимчасове закриття живота.</w:t>
      </w:r>
    </w:p>
    <w:p w14:paraId="2D9CE249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Інтенсивна терапія – стабілізація стану пацієнта, корекція коагулопатії, ацидозу, гіпотермії.</w:t>
      </w:r>
    </w:p>
    <w:p w14:paraId="48BD79C3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Дефінітивна реконструкція – відновлення після стабілізації.</w:t>
      </w:r>
    </w:p>
    <w:p w14:paraId="7DBF9623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2000-ні роки: концепція поширилася у військовій медицині та цивільних травмоцентрах світу. DCS стала «золотим стандартом» при тяжких пораненнях живота, грудної клітки, судин, таза.</w:t>
      </w:r>
    </w:p>
    <w:p w14:paraId="018A6374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Сучасний етап:</w:t>
      </w:r>
    </w:p>
    <w:p w14:paraId="2B1971DA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DCS інтегрували в комплекс Damage Control Resuscitation (DCR), що включає раннє застосування цільної крові чи компонентів у співвідношенні 1:1:1, мінімізацію кристалоїдів, пермісивну гіпотензію.</w:t>
      </w:r>
    </w:p>
    <w:p w14:paraId="2ADCC44D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DCS активно використовується у військових конфліктах (Ірак, Афганістан, Україна) та в цивільних центрах при масових катастрофах.</w:t>
      </w:r>
    </w:p>
    <w:p w14:paraId="320447F8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Впроваджуються новітні технології: вакуум-асистоване закриття ран (VAC), тимчасові судинні шунти, REBOA (Resuscitative Endovascular Balloon Occlusion of the Aorta), роботизована допомога.</w:t>
      </w:r>
    </w:p>
    <w:p w14:paraId="6A27A642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Значення історичного відкриття</w:t>
      </w:r>
    </w:p>
    <w:p w14:paraId="6292AD5C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До впровадження DCS летальність при тяжких абдомінальних пораненнях сягала 70–90 %.</w:t>
      </w:r>
    </w:p>
    <w:p w14:paraId="7B7D2E57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Після впровадження концепції «триетапного підходу» вона знизилася більш ніж удвічі.</w:t>
      </w:r>
    </w:p>
    <w:p w14:paraId="01F75DAA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DCS стала одним із найважливіших відкриттів військової хірургії другої половини ХХ століття і зараз є базовим принципом бойової травматології та цивільної медицини катастроф.Це стратегія коротких, життєрятівних втручань, спрямованих не на остаточне відновлення, а на збереження життя.</w:t>
      </w:r>
    </w:p>
    <w:p w14:paraId="71674157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Фази:</w:t>
      </w:r>
    </w:p>
    <w:p w14:paraId="4FA71865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bookmarkStart w:id="0" w:name="_GoBack"/>
      <w:bookmarkEnd w:id="0"/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Початкова операція: швидка зупинка кровотечі, усунення масивного забруднення, застосування судинних шунтів, пакування черевної порожнини, тимчасове закриття ран.</w:t>
      </w:r>
    </w:p>
    <w:p w14:paraId="5B063A30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Інтенсивна терапія: відновлення фізіологічних параметрів у реанімації.</w:t>
      </w:r>
    </w:p>
    <w:p w14:paraId="479DC173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Дефінітивна реконструкція: через 24–48 год, після стабілізації стану — реконструкція судин, кісток, органів, пластика м’яких тканин.</w:t>
      </w:r>
    </w:p>
    <w:p w14:paraId="3F4E9454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Для кінцівок перевагу віддають зовнішній фіксації, фасціотоміям при компартмент-синдромі, VAC-терапії. Для черевної порожнини — тимчасове відкрите ведення, щоб уникнути абдомінального компартмент-синдрому. Для обличчя й шиї — раннє відновлення контурів при забезпеченні контролю кровотечі та дихальних шляхів.</w:t>
      </w:r>
    </w:p>
    <w:p w14:paraId="4BDA0C58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Висновок</w:t>
      </w:r>
    </w:p>
    <w:p w14:paraId="02AD69E5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Високоенергетичні вогнепальні й вибухові поранення відзначаються комплексністю уражень і високим ризиком летальних ускладнень. Їх механізм включає поєднання ударної хвилі, уламків, термічних і хімічних чинників. Мінно-вибухові травми особливо небезпечні через множинність і комбінованість пошкоджень. Сучасна тактика лікування базується на принципах TCCC, damage control resuscitation і damage control surgery, що дозволяє врятувати життя навіть у найтяжчих випадках. Ключовими є рання зупинка кровотечі, профілактика «фатальної тріади», поетапні хірургічні втручання і своєчасна евакуація.</w:t>
      </w:r>
    </w:p>
    <w:p w14:paraId="042BBCFF">
      <w:pPr>
        <w:pStyle w:val="3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default" w:ascii="Times New Roman Regular" w:hAnsi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</w:p>
    <w:p w14:paraId="1C0ECD94">
      <w:pPr>
        <w:tabs>
          <w:tab w:val="left" w:pos="0"/>
          <w:tab w:val="left" w:pos="142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В</w:t>
      </w:r>
      <w:r>
        <w:rPr>
          <w:rFonts w:hint="default" w:ascii="Times New Roman Regular" w:hAnsi="Times New Roman Regular" w:cs="Times New Roman Regular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имоги до результатів роботи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 у т. ч. до оформлення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: письмова робота повинна бути оформлена у письмовому чи печатному варіанті, мати охайний вигляд, на початок треба зазначити дату, тему, № завдання ПІБ виконавця, текст має бути розбірливим, структурованим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;</w:t>
      </w:r>
    </w:p>
    <w:p w14:paraId="7EF17A75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</w:p>
    <w:p w14:paraId="10F3D697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Підбиття підсумків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 (5, 4, 3, 2), яка округлюється за методом статистики.</w:t>
      </w:r>
    </w:p>
    <w:p w14:paraId="79C2C81D"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Тестові завдання</w:t>
      </w:r>
    </w:p>
    <w:p w14:paraId="75F74927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1. Високоенергетичні вогнепальні поранення характеризуються: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Відсутністю зони вторинних пошкоджень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Лише поверхневими ранами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Великою зоною контузії тканин навколо ранового каналу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Наявністю тільки термічних опіків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C</w:t>
      </w:r>
    </w:p>
    <w:p w14:paraId="2E570F56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E3E3334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2. До протипіхотних мін належать: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Протитанкові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Фугасні, осколкові, «підстрибуючі», спрямовані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Касетні боєприпаси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Термобаричні бомби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B</w:t>
      </w:r>
    </w:p>
    <w:p w14:paraId="3AAC3B55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14A23F8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3. Основний фактор ураження при фугасній протипіхотній міні: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Осколки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Ударна хвиля, що діє на нижні кінцівки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Термічний ефект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Радіаційне випромінювання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B</w:t>
      </w:r>
    </w:p>
    <w:p w14:paraId="11880A15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500D94F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4. Який орган найбільш чутливий до дії вибухової хвилі?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Печінка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Легені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Нирки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Селезінка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B</w:t>
      </w:r>
    </w:p>
    <w:p w14:paraId="0AD5D9C9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3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0A04F54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5. Первинні вибухові ураження виникають внаслідок: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Уламкової дії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Ударної хвилі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Опіків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Кидання тіла об предмети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B</w:t>
      </w:r>
    </w:p>
    <w:p w14:paraId="4CE2EA01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4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3FDE3C2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6. Третинні вибухові ураження зумовлені: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Дією уламків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Дією вибухової хвилі на органи, що містять повітря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Переміщенням тіла та ударами об поверхні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Хімічними добавками у вибухівці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C</w:t>
      </w:r>
    </w:p>
    <w:p w14:paraId="432F554F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7A5D07F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7. Фатальна тріада у постраждалих з тяжкою травмою включає: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Гіпотермію, ацидоз, коагулопатію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Гіповолемію, біль, інфекцію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Анемію, гіперглікемію, тахікардію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Біль, тромбоз, інфекцію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A</w:t>
      </w:r>
    </w:p>
    <w:p w14:paraId="008BD849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725A4FD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8. Damage Control Surgery включає такі етапи: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Первинна операція – реанімація – остаточна реконструкція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Тільки первинна радикальна операція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Лише консервативна терапія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Відновлення після 1 року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A</w:t>
      </w:r>
    </w:p>
    <w:p w14:paraId="7DC3E4B5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F532E5B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9. Хто ввів у хірургію термін «Damage Control Surgery»?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Ambroise Paré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Rotondo та Schwab (1993 р.)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Lister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Kocher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B</w:t>
      </w:r>
    </w:p>
    <w:p w14:paraId="3C7826D6">
      <w:pPr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pict>
          <v:rect id="_x0000_i104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281FAE8">
      <w:pPr>
        <w:pStyle w:val="35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36"/>
          <w:i w:val="0"/>
          <w:iCs w:val="0"/>
          <w:caps w:val="0"/>
          <w:color w:val="000000"/>
          <w:spacing w:val="0"/>
          <w:u w:val="none"/>
        </w:rPr>
        <w:t>10. Основна мета тактики Damage Control Surgery: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A. Повне відновлення органів під час першої операції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B. Швидка зупинка кровотечі та запобігання забрудненню, стабілізація пацієнта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C. Виконання пластичних реконструкцій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D. Тільки діагностика травм</w:t>
      </w:r>
      <w:r>
        <w:rPr>
          <w:i w:val="0"/>
          <w:iCs w:val="0"/>
          <w:caps w:val="0"/>
          <w:color w:val="000000"/>
          <w:spacing w:val="0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u w:val="none"/>
        </w:rPr>
        <w:t>👉 </w:t>
      </w:r>
      <w:r>
        <w:rPr>
          <w:rStyle w:val="36"/>
          <w:i w:val="0"/>
          <w:iCs w:val="0"/>
          <w:caps w:val="0"/>
          <w:color w:val="000000"/>
          <w:spacing w:val="0"/>
          <w:u w:val="none"/>
        </w:rPr>
        <w:t>Правильна відповідь: B</w:t>
      </w:r>
    </w:p>
    <w:p w14:paraId="66AF39D5">
      <w:pPr>
        <w:numPr>
          <w:ilvl w:val="0"/>
          <w:numId w:val="0"/>
        </w:numPr>
        <w:jc w:val="both"/>
        <w:rPr>
          <w:rFonts w:hint="default" w:ascii="Times New Roman Regular" w:hAnsi="Times New Roman Regular"/>
          <w:b/>
          <w:bCs/>
          <w:sz w:val="28"/>
          <w:szCs w:val="28"/>
          <w:lang w:val="uk-UA"/>
        </w:rPr>
      </w:pPr>
      <w:r>
        <w:rPr>
          <w:rFonts w:hint="default" w:ascii="Times New Roman Regular" w:hAnsi="Times New Roman Regular"/>
          <w:b/>
          <w:bCs/>
          <w:sz w:val="28"/>
          <w:szCs w:val="28"/>
          <w:lang w:val="uk-UA"/>
        </w:rPr>
        <w:t>Питання для самоконтролю</w:t>
      </w:r>
    </w:p>
    <w:p w14:paraId="2DBC0EFC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1.Дайте визначення високоенергетичних вогнепальних поранень та їх основні особливості.</w:t>
      </w:r>
    </w:p>
    <w:p w14:paraId="271160D8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2.Які існують основні види протипіхотних мін і чим відрізняється їх механізм дії?</w:t>
      </w:r>
    </w:p>
    <w:p w14:paraId="5EE5854F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3.Назвіть органи-«мішені», що найбільш чутливі до дії вибухової хвилі, та поясніть чому.</w:t>
      </w:r>
    </w:p>
    <w:p w14:paraId="70F29E29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4.Охарактеризуйте класифікацію вибухових уражень (primary, secondary, tertiary, quaternary, quinary).</w:t>
      </w:r>
    </w:p>
    <w:p w14:paraId="06944B1A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5.Яке значення мають фактори вибуху (ударна хвиля, уламки, blast-вітер, термічні й хімічні чинники) у перебігу ранового процесу?</w:t>
      </w:r>
    </w:p>
    <w:p w14:paraId="6D02C7FE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6.Що таке «фатальна тріада» у постраждалих з вибуховими пораненнями і як вона впливає на прогноз?</w:t>
      </w:r>
    </w:p>
    <w:p w14:paraId="79ECD64A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7.Які етапи передбачає алгоритм тактичної медицини (MARCH) при наданні допомоги на полі бою?</w:t>
      </w:r>
    </w:p>
    <w:p w14:paraId="472DA62C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8.У чому полягає суть концепції Damage Control Surgery (DCS) і які її три основні фази?</w:t>
      </w:r>
    </w:p>
    <w:p w14:paraId="0652A8CE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9.Розкрийте історію виникнення терміна «Damage Control Surgery» та назвіть авторів, які його запровадили.</w:t>
      </w:r>
    </w:p>
    <w:p w14:paraId="737F3034">
      <w:pPr>
        <w:numPr>
          <w:ilvl w:val="0"/>
          <w:numId w:val="0"/>
        </w:num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  <w:t>10.Яке значення має етапність хірургічної допомоги та повторні ревізії ран у постраждалих із мінно-вибуховими травмами?Список літератури</w:t>
      </w:r>
    </w:p>
    <w:p w14:paraId="43D1356C">
      <w:pPr>
        <w:numPr>
          <w:ilvl w:val="0"/>
          <w:numId w:val="0"/>
        </w:numPr>
        <w:jc w:val="both"/>
        <w:rPr>
          <w:rFonts w:hint="default" w:ascii="Times New Roman Bold" w:hAnsi="Times New Roman Bold"/>
          <w:b/>
          <w:bCs/>
          <w:sz w:val="28"/>
          <w:szCs w:val="28"/>
          <w:lang w:val="uk-UA"/>
        </w:rPr>
      </w:pPr>
      <w:r>
        <w:rPr>
          <w:rFonts w:hint="default" w:ascii="Times New Roman Bold" w:hAnsi="Times New Roman Bold"/>
          <w:b/>
          <w:bCs/>
          <w:sz w:val="28"/>
          <w:szCs w:val="28"/>
          <w:lang w:val="uk-UA"/>
        </w:rPr>
        <w:t>Список літератури</w:t>
      </w:r>
    </w:p>
    <w:p w14:paraId="7E871016">
      <w:pPr>
        <w:numPr>
          <w:ilvl w:val="0"/>
          <w:numId w:val="0"/>
        </w:numPr>
        <w:jc w:val="both"/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  <w:t>Основна література:</w:t>
      </w:r>
    </w:p>
    <w:p w14:paraId="3F08D85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 Bold" w:hAnsi="Times New Roman Bold"/>
          <w:b/>
          <w:bCs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1.Roberts DJ, Bobrovitz N, Zygun DA, Ball CG, Kirkpatrick AW, Faris PD, et al. Evidence for use of damage control surgery and damage control interventions in civilian trauma patients: a systematic review. World J Emerg Surg. 2021;16(1):1–23. Available from: https://doi.org/10.1186/s13017-021-00364-2</w:t>
      </w:r>
    </w:p>
    <w:p w14:paraId="5698F48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2.Altomare M, et al. Does damage control surgery for abdominal trauma have a real impact on survival benefit in major trauma patients? A systematic review with meta-analysis. Eur J Trauma Emerg Surg. 2025;51(1):247–259. Available from: https://pubmed.ncbi.nlm.nih.gov/40622570/</w:t>
      </w:r>
    </w:p>
    <w:p w14:paraId="291135D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3.Daniels JS. Damage Control Surgery (DCS) in the management of maxillofacial bomb blast injuries. J Oral Maxillofac Surg. 2021;79(12):2529–2536. Available from: https://doi.org/10.1177/24727512211038331</w:t>
      </w:r>
    </w:p>
    <w:p w14:paraId="29058255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4.Wright AM, et al. A narrative review of damage control resuscitation for paediatric patients. Trauma. 2023;25(2):87–96. Available from: https://doi.org/10.1177/14604086231152661</w:t>
      </w:r>
    </w:p>
    <w:p w14:paraId="44EC1E48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5.Du WQ, et al. Establishment of a combat damage control surgery training platform for explosive combined thoraco-abdominal injuries. Chin J Trauma Emerg Surg. 2022;24(3):165–171. Available from: https://doi.org/10.1016/j.cjtee.2022.03.003</w:t>
      </w:r>
    </w:p>
    <w:p w14:paraId="53BD66E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6.Байдалюк РВ, Верба АВ, Герасименко ОС, Собком ІВ. Тактика «damage control surgery»: досвід українських військових хірургів. Здоров’я України. Хірургія. Ортопедія. Травматологія. Інтенсивна терапія. 2023;(2):15–19. Available from: https://health-ua.com/hirurgiya/viiskova-medicina/73318</w:t>
      </w:r>
    </w:p>
    <w:p w14:paraId="747674D3">
      <w:pPr>
        <w:numPr>
          <w:ilvl w:val="0"/>
          <w:numId w:val="0"/>
        </w:numPr>
        <w:jc w:val="both"/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  <w:t>Додаткова література:</w:t>
      </w:r>
    </w:p>
    <w:p w14:paraId="7E87AB63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1.Заруцький Я. Л., Запорожан В. М., Білий В. Я., Денисенко В. М. та ін. Воєнно-польова хірургія. 2-ге вид., переробл. Київ: Фенікс, 2023. 688 с.</w:t>
      </w:r>
    </w:p>
    <w:p w14:paraId="26677A98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2.Білий В. Я., Заруцький Я. Л., Запорожан В. М., Денисенко В. М. та ін. Військова хірургія з хірургією надзвичайних ситуацій. Київ, 2020. 534 с. Режим доступу: https://sprotyvg7.com.ua/.../Військова-хірургія-Білого.</w:t>
      </w:r>
    </w:p>
    <w:p w14:paraId="0A94207A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3.Чорна ВВ, Заводяк А, Плахотнюк І, Липкань В, Томашевський А, Коломієць В. Особливості поранень від різних типів зброї, місцезнаходження особи на момент вибуху. Україна. Здоров’я нації. 2024;2(71):113–121. Available from: https://journals.uzhnu.uz.ua/index.php/health/article/view/991</w:t>
      </w:r>
    </w:p>
    <w:p w14:paraId="68B38C7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4.Денисюк МВ. Структура травматичних ушкоджень та досвід лікування поранених внаслідок агресії Росії. Вісник Національного медичного університету. 2022;(2):45–52. Available from: http://ir.librarynmu.com/handle/123456789/5796</w:t>
      </w:r>
    </w:p>
    <w:p w14:paraId="00D45188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5.Гур’єв СО, Танасієнко ПВ, Гуселетова НВ, та ін. Аналіз медико-санітарних наслідків військових дій під час контртерористичних операцій. Екстрена медицина від науки до практики. 2020;4(2):27–34. Available from: https://journals.uzhnu.uz.ua/index.php/health/article/view/991</w:t>
      </w:r>
    </w:p>
    <w:p w14:paraId="70857EC0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 xml:space="preserve">6.Global Medical Knowledge Alliance (GMKA). Вибухова травма вуха / акустична травма і втрата слуху: настанови Surgical CCC. GMKA Guidelines. 2022. Available from: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instrText xml:space="preserve"> HYPERLINK "https://gmka.org/uk/articles/vybuhova-travma-vuha-akustychna-travma-i-vtrata-sluhu-nastanovy-surgical-ccc" </w:instrTex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fldChar w:fldCharType="separate"/>
      </w:r>
      <w:r>
        <w:rPr>
          <w:rStyle w:val="21"/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https://gmka.org/uk/articles/vybuhova-travma-vuha-akustychna-travma-i-vtrata-sluhu-nastanovy-surgical-ccc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fldChar w:fldCharType="end"/>
      </w:r>
    </w:p>
    <w:p w14:paraId="4E12BCCC">
      <w:pPr>
        <w:numPr>
          <w:ilvl w:val="0"/>
          <w:numId w:val="0"/>
        </w:numPr>
        <w:jc w:val="both"/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  <w:t>Електронні інформаційні ресурси:</w:t>
      </w:r>
    </w:p>
    <w:p w14:paraId="49780495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1.Міністерство охорони здоров’я України. Режим доступу: http://www.moz.gov.ua/ua/portal/</w:t>
      </w:r>
    </w:p>
    <w:p w14:paraId="327A2A36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2.Hand and Microsurgery. Режим доступу: https://handmicrosurgeryjournal.com/index.php?sec=about</w:t>
      </w:r>
    </w:p>
    <w:p w14:paraId="7E8CA638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3.Journal of Reconstructive Microsurgery Open (JRMO). Режим доступу: https://www.thieme.de/de/journal-reconstructive-microsurgery-open/journal-information-83064.htm</w:t>
      </w:r>
    </w:p>
    <w:p w14:paraId="7C3A5CF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4.Special Issue:Microsurgery:Current and Future Perspectives (MDPI).https://www.mdpi.com/journal/jcm/special_issues/34Y367VW69</w:t>
      </w:r>
    </w:p>
    <w:p w14:paraId="03C0F6D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5.Microsurgery and Regenerative Medicine Lab (University of Wisconsin–Madison). https://www.surgery.wisc.edu/2024/11/12/microsurgery-and-regenerative-medicine-lab-expands-global-education/</w:t>
      </w:r>
    </w:p>
    <w:p w14:paraId="24DF39F8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uk-UA"/>
        </w:rPr>
        <w:t>6.Mayo Clinic – Microvascular Surgery Skills Training Course.  https://ce.mayo.edu/surgical-specialties/content/microvascular-surgery-skills-training-course-2024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ＭＳ 明朝">
    <w:altName w:val="Hiragino Sans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ゴシック">
    <w:altName w:val="Hiragino Sans"/>
    <w:panose1 w:val="00000000000000000000"/>
    <w:charset w:val="80"/>
    <w:family w:val="modern"/>
    <w:pitch w:val="default"/>
    <w:sig w:usb0="00000000" w:usb1="00000000" w:usb2="00000010" w:usb3="00000000" w:csb0="00020000" w:csb1="00000000"/>
  </w:font>
  <w:font w:name="Liberation Serif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Symbol">
    <w:altName w:val="Kingsoft Sign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Courier">
    <w:altName w:val="苹方-简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新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-webkit-standar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苹方-简">
    <w:altName w:val="Times New Roman"/>
    <w:panose1 w:val="020B0600000000000000"/>
    <w:charset w:val="00"/>
    <w:family w:val="auto"/>
    <w:pitch w:val="default"/>
    <w:sig w:usb0="A00002FF" w:usb1="7ACFFDFB" w:usb2="00000017" w:usb3="00000000" w:csb0="00040001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roman"/>
    <w:pitch w:val="variable"/>
    <w:sig w:usb0="00000003" w:usb1="288F0000" w:usb2="00000016" w:usb3="00000000" w:csb0="00040001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NSimSun">
    <w:altName w:val="华文宋体"/>
    <w:panose1 w:val="00000000000000000000"/>
    <w:charset w:val="86"/>
    <w:family w:val="auto"/>
    <w:pitch w:val="fixed"/>
    <w:sig w:usb0="00000203" w:usb1="288F0000" w:usb2="00000016" w:usb3="00000000" w:csb0="00040001" w:csb1="00000000"/>
  </w:font>
  <w:font w:name="NSimSun">
    <w:altName w:val="方正书宋_GBK"/>
    <w:panose1 w:val="02010609030101010101"/>
    <w:charset w:val="86"/>
    <w:family w:val="auto"/>
    <w:pitch w:val="fixed"/>
    <w:sig w:usb0="00000203" w:usb1="288F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7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6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31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5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7FFC65D"/>
    <w:rsid w:val="0B1F2C0D"/>
    <w:rsid w:val="19FF3BF4"/>
    <w:rsid w:val="2BF921A6"/>
    <w:rsid w:val="5BB83FFA"/>
    <w:rsid w:val="5FFDC17D"/>
    <w:rsid w:val="6BFF70FE"/>
    <w:rsid w:val="6F6F222B"/>
    <w:rsid w:val="76F90A36"/>
    <w:rsid w:val="7BFF3283"/>
    <w:rsid w:val="7CDFE7FC"/>
    <w:rsid w:val="7EBD491D"/>
    <w:rsid w:val="7F0FD628"/>
    <w:rsid w:val="7F7E26AA"/>
    <w:rsid w:val="AB5DCDB7"/>
    <w:rsid w:val="ABFF2CD6"/>
    <w:rsid w:val="AEDF81A5"/>
    <w:rsid w:val="B13B214E"/>
    <w:rsid w:val="C3F762CE"/>
    <w:rsid w:val="CE7DFA0E"/>
    <w:rsid w:val="DDFF756B"/>
    <w:rsid w:val="E3CA531A"/>
    <w:rsid w:val="E776C7B7"/>
    <w:rsid w:val="EEFFD832"/>
    <w:rsid w:val="EF5C09CE"/>
    <w:rsid w:val="F3FF0012"/>
    <w:rsid w:val="F5FB663A"/>
    <w:rsid w:val="F7FFE1B0"/>
    <w:rsid w:val="F7FFEE8B"/>
    <w:rsid w:val="FDD7EE1C"/>
    <w:rsid w:val="FE3FFE79"/>
    <w:rsid w:val="FE5B4255"/>
    <w:rsid w:val="FE7DC7CE"/>
    <w:rsid w:val="FEFDC07B"/>
    <w:rsid w:val="FFBF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41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42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7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8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pPr>
      <w:keepNext w:val="0"/>
      <w:keepLines w:val="0"/>
      <w:widowControl/>
      <w:suppressLineNumbers w:val="0"/>
      <w:suppressAutoHyphens/>
      <w:autoSpaceDE/>
      <w:autoSpaceDN w:val="0"/>
      <w:spacing w:before="0" w:beforeAutospacing="0" w:after="0" w:afterAutospacing="0"/>
      <w:ind w:left="0" w:right="0"/>
    </w:pPr>
    <w:rPr>
      <w:rFonts w:hint="default" w:ascii="Liberation Serif" w:hAnsi="Liberation Serif" w:eastAsia="Liberation Serif" w:cs="Liberation Serif"/>
      <w:kern w:val="3"/>
      <w:sz w:val="24"/>
      <w:szCs w:val="24"/>
      <w:lang w:val="ru" w:eastAsia="zh-C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7"/>
    <w:unhideWhenUsed/>
    <w:uiPriority w:val="99"/>
    <w:pPr>
      <w:spacing w:after="120"/>
    </w:pPr>
  </w:style>
  <w:style w:type="paragraph" w:styleId="14">
    <w:name w:val="Body Text 2"/>
    <w:basedOn w:val="1"/>
    <w:link w:val="148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9"/>
    <w:unhideWhenUsed/>
    <w:uiPriority w:val="99"/>
    <w:pPr>
      <w:spacing w:after="120"/>
    </w:pPr>
    <w:rPr>
      <w:sz w:val="16"/>
      <w:szCs w:val="16"/>
    </w:rPr>
  </w:style>
  <w:style w:type="paragraph" w:styleId="16">
    <w:name w:val="Body Text Indent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firstLine="709"/>
    </w:pPr>
    <w:rPr>
      <w:rFonts w:ascii="Times New Roman" w:hAnsi="Times New Roman" w:eastAsia="Arial Unicode MS" w:cs="Arial Unicode MS"/>
      <w:color w:val="000000"/>
      <w:sz w:val="24"/>
      <w:szCs w:val="24"/>
      <w:u w:color="000000"/>
      <w:lang w:val="ru-RU" w:eastAsia="ru-RU" w:bidi="ar-SA"/>
    </w:rPr>
  </w:style>
  <w:style w:type="paragraph" w:styleId="1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8">
    <w:name w:val="Emphasis"/>
    <w:basedOn w:val="11"/>
    <w:qFormat/>
    <w:uiPriority w:val="20"/>
    <w:rPr>
      <w:i/>
      <w:iCs/>
    </w:rPr>
  </w:style>
  <w:style w:type="paragraph" w:styleId="19">
    <w:name w:val="footer"/>
    <w:basedOn w:val="1"/>
    <w:link w:val="139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header"/>
    <w:basedOn w:val="1"/>
    <w:link w:val="138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21">
    <w:name w:val="Hyperlink"/>
    <w:basedOn w:val="11"/>
    <w:semiHidden/>
    <w:unhideWhenUsed/>
    <w:uiPriority w:val="99"/>
    <w:rPr>
      <w:color w:val="0000FF"/>
      <w:u w:val="single"/>
    </w:rPr>
  </w:style>
  <w:style w:type="paragraph" w:styleId="22">
    <w:name w:val="List"/>
    <w:basedOn w:val="1"/>
    <w:unhideWhenUsed/>
    <w:uiPriority w:val="99"/>
    <w:pPr>
      <w:ind w:left="360" w:hanging="360"/>
      <w:contextualSpacing/>
    </w:pPr>
  </w:style>
  <w:style w:type="paragraph" w:styleId="23">
    <w:name w:val="List 2"/>
    <w:basedOn w:val="1"/>
    <w:unhideWhenUsed/>
    <w:uiPriority w:val="99"/>
    <w:pPr>
      <w:ind w:left="720" w:hanging="360"/>
      <w:contextualSpacing/>
    </w:pPr>
  </w:style>
  <w:style w:type="paragraph" w:styleId="24">
    <w:name w:val="List 3"/>
    <w:basedOn w:val="1"/>
    <w:unhideWhenUsed/>
    <w:uiPriority w:val="99"/>
    <w:pPr>
      <w:ind w:left="1080" w:hanging="360"/>
      <w:contextualSpacing/>
    </w:pPr>
  </w:style>
  <w:style w:type="paragraph" w:styleId="25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6">
    <w:name w:val="List Bullet 2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7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8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2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3">
    <w:name w:val="List Number 3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4">
    <w:name w:val="macro"/>
    <w:link w:val="150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35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36">
    <w:name w:val="Strong"/>
    <w:basedOn w:val="11"/>
    <w:qFormat/>
    <w:uiPriority w:val="22"/>
    <w:rPr>
      <w:b/>
      <w:bCs/>
    </w:rPr>
  </w:style>
  <w:style w:type="paragraph" w:styleId="37">
    <w:name w:val="Subtitle"/>
    <w:basedOn w:val="1"/>
    <w:next w:val="1"/>
    <w:link w:val="14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8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9">
    <w:name w:val="Title"/>
    <w:basedOn w:val="1"/>
    <w:next w:val="1"/>
    <w:link w:val="144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40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41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42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3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4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5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6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7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8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9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50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51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52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3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4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5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6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7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8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9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60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61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6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7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8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3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4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5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6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7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8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9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80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81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82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7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8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9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90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91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92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3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4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5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6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1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2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3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4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5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6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7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8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9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10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12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3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7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1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2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3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4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5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6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7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8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9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0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31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32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3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4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5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6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7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8">
    <w:name w:val="Header Char"/>
    <w:basedOn w:val="11"/>
    <w:link w:val="20"/>
    <w:uiPriority w:val="99"/>
  </w:style>
  <w:style w:type="character" w:customStyle="1" w:styleId="139">
    <w:name w:val="Footer Char"/>
    <w:basedOn w:val="11"/>
    <w:link w:val="19"/>
    <w:uiPriority w:val="99"/>
  </w:style>
  <w:style w:type="paragraph" w:styleId="140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41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2">
    <w:name w:val="Heading 2 Char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3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4">
    <w:name w:val="Title Char"/>
    <w:basedOn w:val="11"/>
    <w:link w:val="39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5">
    <w:name w:val="Subtitle Char"/>
    <w:basedOn w:val="11"/>
    <w:link w:val="37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6">
    <w:name w:val="List Paragraph"/>
    <w:basedOn w:val="1"/>
    <w:qFormat/>
    <w:uiPriority w:val="34"/>
    <w:pPr>
      <w:ind w:left="720"/>
      <w:contextualSpacing/>
    </w:pPr>
  </w:style>
  <w:style w:type="character" w:customStyle="1" w:styleId="147">
    <w:name w:val="Body Text Char"/>
    <w:basedOn w:val="11"/>
    <w:link w:val="13"/>
    <w:uiPriority w:val="99"/>
  </w:style>
  <w:style w:type="character" w:customStyle="1" w:styleId="148">
    <w:name w:val="Body Text 2 Char"/>
    <w:basedOn w:val="11"/>
    <w:link w:val="14"/>
    <w:uiPriority w:val="99"/>
  </w:style>
  <w:style w:type="character" w:customStyle="1" w:styleId="149">
    <w:name w:val="Body Text 3 Char"/>
    <w:basedOn w:val="11"/>
    <w:link w:val="15"/>
    <w:uiPriority w:val="99"/>
    <w:rPr>
      <w:sz w:val="16"/>
      <w:szCs w:val="16"/>
    </w:rPr>
  </w:style>
  <w:style w:type="character" w:customStyle="1" w:styleId="150">
    <w:name w:val="Macro Text Char"/>
    <w:basedOn w:val="11"/>
    <w:link w:val="34"/>
    <w:uiPriority w:val="99"/>
    <w:rPr>
      <w:rFonts w:ascii="Courier" w:hAnsi="Courier"/>
      <w:sz w:val="20"/>
      <w:szCs w:val="20"/>
    </w:rPr>
  </w:style>
  <w:style w:type="paragraph" w:styleId="151">
    <w:name w:val="Quote"/>
    <w:basedOn w:val="1"/>
    <w:next w:val="1"/>
    <w:link w:val="152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2">
    <w:name w:val="Quote Char"/>
    <w:basedOn w:val="11"/>
    <w:link w:val="151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3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4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5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6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7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8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9">
    <w:name w:val="Intense Quote"/>
    <w:basedOn w:val="1"/>
    <w:next w:val="1"/>
    <w:link w:val="160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Intense Quote Char"/>
    <w:basedOn w:val="11"/>
    <w:link w:val="159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2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3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4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5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6">
    <w:name w:val="TOC Heading"/>
    <w:basedOn w:val="2"/>
    <w:next w:val="1"/>
    <w:semiHidden/>
    <w:unhideWhenUsed/>
    <w:qFormat/>
    <w:uiPriority w:val="39"/>
    <w:pPr>
      <w:outlineLvl w:val="9"/>
    </w:pPr>
  </w:style>
  <w:style w:type="table" w:customStyle="1" w:styleId="167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8">
    <w:name w:val="Text body"/>
    <w:uiPriority w:val="0"/>
    <w:pPr>
      <w:keepNext w:val="0"/>
      <w:keepLines w:val="0"/>
      <w:widowControl/>
      <w:suppressLineNumbers w:val="0"/>
      <w:suppressAutoHyphens/>
      <w:autoSpaceDE/>
      <w:autoSpaceDN w:val="0"/>
      <w:spacing w:before="0" w:beforeAutospacing="0" w:after="140" w:afterAutospacing="0" w:line="276" w:lineRule="auto"/>
      <w:ind w:left="0" w:right="0"/>
      <w:jc w:val="left"/>
    </w:pPr>
    <w:rPr>
      <w:rFonts w:hint="default" w:ascii="Liberation Serif" w:hAnsi="Liberation Serif" w:eastAsia="新宋体" w:cs="Arial"/>
      <w:kern w:val="3"/>
      <w:sz w:val="24"/>
      <w:szCs w:val="24"/>
      <w:lang w:val="en-US" w:eastAsia="zh-CN" w:bidi="ar"/>
    </w:rPr>
  </w:style>
  <w:style w:type="paragraph" w:customStyle="1" w:styleId="169">
    <w:name w:val="Обычный (веб)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after="100" w:line="276" w:lineRule="auto"/>
    </w:pPr>
    <w:rPr>
      <w:rFonts w:ascii="Times New Roman" w:hAnsi="Times New Roman" w:eastAsia="Arial Unicode MS" w:cs="Arial Unicode MS"/>
      <w:color w:val="000000"/>
      <w:sz w:val="24"/>
      <w:szCs w:val="24"/>
      <w:u w:color="000000"/>
      <w:lang w:val="ru-RU" w:eastAsia="ru-RU" w:bidi="ar-SA"/>
    </w:rPr>
  </w:style>
  <w:style w:type="paragraph" w:customStyle="1" w:styleId="170">
    <w:name w:val="Основной текст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</w:pPr>
    <w:rPr>
      <w:rFonts w:ascii="Helvetica Neue" w:hAnsi="Helvetica Neue" w:eastAsia="Arial Unicode MS" w:cs="Arial Unicode MS"/>
      <w:color w:val="000000"/>
      <w:sz w:val="22"/>
      <w:szCs w:val="22"/>
      <w:u w:color="000000"/>
      <w:lang w:val="ru-RU" w:eastAsia="ru-RU" w:bidi="ar-SA"/>
    </w:rPr>
  </w:style>
  <w:style w:type="character" w:customStyle="1" w:styleId="171">
    <w:name w:val="Hyperlink.0"/>
    <w:basedOn w:val="172"/>
    <w:uiPriority w:val="0"/>
    <w:rPr>
      <w:color w:val="000000"/>
      <w:spacing w:val="0"/>
      <w:kern w:val="0"/>
      <w:position w:val="0"/>
      <w:u w:val="none" w:color="000000"/>
      <w:vertAlign w:val="baseline"/>
      <w:lang w:val="en-US"/>
    </w:rPr>
  </w:style>
  <w:style w:type="character" w:customStyle="1" w:styleId="172">
    <w:name w:val="Нет"/>
    <w:uiPriority w:val="0"/>
  </w:style>
  <w:style w:type="character" w:customStyle="1" w:styleId="173">
    <w:name w:val="Hyperlink.1"/>
    <w:basedOn w:val="172"/>
    <w:uiPriority w:val="0"/>
    <w:rPr>
      <w:color w:val="000000"/>
      <w:spacing w:val="0"/>
      <w:kern w:val="0"/>
      <w:position w:val="0"/>
      <w:u w:val="none" w:color="000000"/>
      <w:vertAlign w:val="baseline"/>
      <w:lang w:val="de-DE"/>
    </w:rPr>
  </w:style>
  <w:style w:type="paragraph" w:customStyle="1" w:styleId="174">
    <w:name w:val="Standard"/>
    <w:uiPriority w:val="0"/>
    <w:pPr>
      <w:keepNext w:val="0"/>
      <w:keepLines w:val="0"/>
      <w:widowControl/>
      <w:suppressLineNumbers w:val="0"/>
      <w:suppressAutoHyphens/>
      <w:autoSpaceDE/>
      <w:autoSpaceDN w:val="0"/>
      <w:spacing w:before="0" w:beforeAutospacing="0" w:after="0" w:afterAutospacing="0"/>
      <w:ind w:left="0" w:right="0"/>
      <w:jc w:val="left"/>
    </w:pPr>
    <w:rPr>
      <w:rFonts w:hint="default" w:ascii="Liberation Serif" w:hAnsi="Liberation Serif" w:eastAsia="新宋体" w:cs="Arial"/>
      <w:kern w:val="3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38</TotalTime>
  <ScaleCrop>false</ScaleCrop>
  <LinksUpToDate>false</LinksUpToDate>
  <CharactersWithSpaces>0</CharactersWithSpaces>
  <Application>WPS Office_12.1.21937.21937_F1E327BC-269C-435d-A152-05C5408002CA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2013-12-24T17:15:00Z</dcterms:created>
  <dc:creator>python-docx</dc:creator>
  <dc:description>generated by python-docx</dc:description>
  <cp:lastModifiedBy>Evgen Kvasnevskyi</cp:lastModifiedBy>
  <dcterms:modified xsi:type="dcterms:W3CDTF">2025-09-10T22:36:03Z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1033-12.1.21937.21937</vt:lpwstr>
  </property>
  <property fmtid="{D5CDD505-2E9C-101B-9397-08002B2CF9AE}" pid="3" name="ICV">
    <vt:lpwstr>BA291DA23BC467E50FC2C168943A4A8F_43</vt:lpwstr>
  </property>
</Properties>
</file>