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33285">
      <w:pPr>
        <w:jc w:val="center"/>
        <w:rPr>
          <w:lang w:val="ru-RU"/>
        </w:rPr>
      </w:pPr>
      <w:r>
        <w:rPr>
          <w:lang w:val="ru-RU"/>
        </w:rPr>
        <w:t>МІНІСТЕРСТВО ОХОРОНИ ЗДОРОВ’Я УКРАЇНИ</w:t>
      </w:r>
    </w:p>
    <w:p w14:paraId="01C5E9EB">
      <w:pPr>
        <w:jc w:val="center"/>
        <w:rPr>
          <w:lang w:val="ru-RU"/>
        </w:rPr>
      </w:pPr>
      <w:r>
        <w:rPr>
          <w:lang w:val="ru-RU"/>
        </w:rPr>
        <w:t>ОДЕСЬКИЙ НАЦІОНАЛЬНИЙ МЕДИЧНИЙ УНІВЕРСИТЕТ</w:t>
      </w:r>
    </w:p>
    <w:p w14:paraId="0CACF70C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Кафедра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онкології,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реконструктивної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хірургії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</w:p>
    <w:p w14:paraId="5BFD3782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радіології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та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радіаційної медицини </w:t>
      </w:r>
    </w:p>
    <w:p w14:paraId="6F9DB64F">
      <w:pPr>
        <w:rPr>
          <w:lang w:val="ru-RU"/>
        </w:rPr>
      </w:pPr>
      <w:bookmarkStart w:id="0" w:name="_GoBack"/>
      <w:bookmarkEnd w:id="0"/>
      <w:r>
        <w:rPr>
          <w:lang w:val="ru-RU"/>
        </w:rPr>
        <w:br w:type="textWrapping"/>
      </w:r>
      <w:r>
        <w:rPr>
          <w:lang w:val="ru-RU"/>
        </w:rPr>
        <w:br w:type="textWrapping"/>
      </w:r>
      <w:r>
        <w:rPr>
          <w:lang w:val="ru-RU"/>
        </w:rPr>
        <w:t>ЗАТВЕРДЖУЮ</w:t>
      </w:r>
      <w:r>
        <w:rPr>
          <w:lang w:val="ru-RU"/>
        </w:rPr>
        <w:br w:type="textWrapping"/>
      </w:r>
      <w:r>
        <w:rPr>
          <w:lang w:val="ru-RU"/>
        </w:rPr>
        <w:t>Проректор з науково-педагогічної роботи</w:t>
      </w:r>
    </w:p>
    <w:p w14:paraId="1067D715">
      <w:pPr>
        <w:rPr>
          <w:lang w:val="ru-RU"/>
        </w:rPr>
      </w:pPr>
      <w:r>
        <w:rPr>
          <w:lang w:val="ru-RU"/>
        </w:rPr>
        <w:t>____________________ Едуард Бурячківський</w:t>
      </w:r>
    </w:p>
    <w:p w14:paraId="7AB30722">
      <w:pPr>
        <w:rPr>
          <w:lang w:val="ru-RU"/>
        </w:rPr>
      </w:pPr>
      <w:r>
        <w:rPr>
          <w:lang w:val="ru-RU"/>
        </w:rPr>
        <w:t>«______»  _________________  2025 року</w:t>
      </w:r>
    </w:p>
    <w:p w14:paraId="4125A0A2">
      <w:pPr>
        <w:jc w:val="center"/>
        <w:rPr>
          <w:lang w:val="ru-RU"/>
        </w:rPr>
      </w:pPr>
      <w:r>
        <w:rPr>
          <w:lang w:val="ru-RU"/>
        </w:rPr>
        <w:br w:type="textWrapping"/>
      </w:r>
      <w:r>
        <w:rPr>
          <w:lang w:val="ru-RU"/>
        </w:rPr>
        <w:br w:type="textWrapping"/>
      </w:r>
      <w:r>
        <w:rPr>
          <w:lang w:val="ru-RU"/>
        </w:rPr>
        <w:t>МЕТОДИЧНА РОЗРОБКА до ПРАКТИЧНОГО ЗАНЯТТЯ</w:t>
      </w:r>
    </w:p>
    <w:p w14:paraId="5B90354D">
      <w:pPr>
        <w:jc w:val="center"/>
        <w:rPr>
          <w:lang w:val="ru-RU"/>
        </w:rPr>
      </w:pPr>
      <w:r>
        <w:rPr>
          <w:lang w:val="ru-RU"/>
        </w:rPr>
        <w:t>здобувачів вищої освіти</w:t>
      </w:r>
    </w:p>
    <w:p w14:paraId="4659ABA1">
      <w:pPr>
        <w:jc w:val="center"/>
        <w:rPr>
          <w:lang w:val="ru-RU"/>
        </w:rPr>
      </w:pPr>
      <w:r>
        <w:rPr>
          <w:lang w:val="ru-RU"/>
        </w:rPr>
        <w:t>з навчальної дисципліни «Реконструктивна хірургія»</w:t>
      </w:r>
    </w:p>
    <w:p w14:paraId="791A2576">
      <w:pPr>
        <w:jc w:val="center"/>
        <w:rPr>
          <w:lang w:val="ru-RU"/>
        </w:rPr>
      </w:pPr>
      <w:r>
        <w:rPr>
          <w:lang w:val="ru-RU"/>
        </w:rPr>
        <w:t xml:space="preserve">Факультет медичний, </w:t>
      </w:r>
      <w:r>
        <w:t>V</w:t>
      </w:r>
      <w:r>
        <w:rPr>
          <w:lang w:val="ru-RU"/>
        </w:rPr>
        <w:t xml:space="preserve"> курс</w:t>
      </w:r>
    </w:p>
    <w:p w14:paraId="7B1C283C">
      <w:pPr>
        <w:rPr>
          <w:lang w:val="ru-RU"/>
        </w:rPr>
      </w:pPr>
      <w:r>
        <w:rPr>
          <w:lang w:val="ru-RU"/>
        </w:rPr>
        <w:br w:type="textWrapping"/>
      </w:r>
      <w:r>
        <w:rPr>
          <w:lang w:val="ru-RU"/>
        </w:rPr>
        <w:br w:type="textWrapping"/>
      </w:r>
      <w:r>
        <w:rPr>
          <w:lang w:val="ru-RU"/>
        </w:rPr>
        <w:t>Затверджено:</w:t>
      </w:r>
      <w:r>
        <w:rPr>
          <w:lang w:val="ru-RU"/>
        </w:rPr>
        <w:br w:type="textWrapping"/>
      </w:r>
      <w:r>
        <w:rPr>
          <w:lang w:val="ru-RU"/>
        </w:rPr>
        <w:t>Засіданням кафедри реконструктивної хірургії</w:t>
      </w:r>
      <w:r>
        <w:rPr>
          <w:lang w:val="ru-RU"/>
        </w:rPr>
        <w:br w:type="textWrapping"/>
      </w:r>
      <w:r>
        <w:rPr>
          <w:lang w:val="ru-RU"/>
        </w:rPr>
        <w:t>Одеського національного медичного університету</w:t>
      </w:r>
    </w:p>
    <w:p w14:paraId="0240761E">
      <w:pPr>
        <w:rPr>
          <w:lang w:val="ru-RU"/>
        </w:rPr>
      </w:pPr>
      <w:r>
        <w:rPr>
          <w:lang w:val="ru-RU"/>
        </w:rPr>
        <w:t>Протокол № ___ від “___” ____________ 20__ р.</w:t>
      </w:r>
    </w:p>
    <w:p w14:paraId="7E001B29">
      <w:pPr>
        <w:rPr>
          <w:lang w:val="uk-UA"/>
        </w:rPr>
      </w:pPr>
      <w:r>
        <w:rPr>
          <w:lang w:val="ru-RU"/>
        </w:rPr>
        <w:t>Завідувач кафедри  _____________</w:t>
      </w:r>
      <w:r>
        <w:rPr>
          <w:lang w:val="uk-UA"/>
        </w:rPr>
        <w:t>Олег Герасименко</w:t>
      </w:r>
    </w:p>
    <w:p w14:paraId="651EF1ED">
      <w:pPr>
        <w:jc w:val="center"/>
        <w:rPr>
          <w:lang w:val="ru-RU"/>
        </w:rPr>
      </w:pPr>
      <w:r>
        <w:rPr>
          <w:lang w:val="ru-RU"/>
        </w:rPr>
        <w:br w:type="textWrapping"/>
      </w:r>
      <w:r>
        <w:rPr>
          <w:lang w:val="ru-RU"/>
        </w:rPr>
        <w:br w:type="textWrapping"/>
      </w:r>
    </w:p>
    <w:p w14:paraId="6F33EF94">
      <w:pPr>
        <w:jc w:val="center"/>
        <w:rPr>
          <w:lang w:val="ru-RU"/>
        </w:rPr>
      </w:pPr>
      <w:r>
        <w:rPr>
          <w:lang w:val="ru-RU"/>
        </w:rPr>
        <w:t>Одеса – 2025</w:t>
      </w:r>
    </w:p>
    <w:p w14:paraId="367B02D8">
      <w:pPr>
        <w:jc w:val="center"/>
        <w:rPr>
          <w:lang w:val="ru-RU"/>
        </w:rPr>
      </w:pPr>
    </w:p>
    <w:p w14:paraId="2828D889">
      <w:pPr>
        <w:jc w:val="center"/>
        <w:rPr>
          <w:lang w:val="ru-RU"/>
        </w:rPr>
      </w:pPr>
      <w:r>
        <w:rPr>
          <w:lang w:val="ru-RU"/>
        </w:rPr>
        <w:t>Розробники:</w:t>
      </w:r>
    </w:p>
    <w:p w14:paraId="780FD599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sz w:val="24"/>
          <w:szCs w:val="24"/>
          <w:lang w:val="ru-RU"/>
        </w:rPr>
        <w:t xml:space="preserve">Герасименко Олег Сергійович </w:t>
      </w: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проф., д.мед.н.</w:t>
      </w:r>
    </w:p>
    <w:p w14:paraId="27BA456A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Гайда Ярослав Іванович к. мед. н.</w:t>
      </w:r>
    </w:p>
    <w:p w14:paraId="0BEF554E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Квасневський Євгеній Анатолійович к. мед. н.</w:t>
      </w:r>
    </w:p>
    <w:p w14:paraId="75490ADB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Атанасов Дмитро Вадимович к. мед. н.</w:t>
      </w:r>
    </w:p>
    <w:p w14:paraId="7B1DE52B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Єнін Роман Вікторович к. мед. н.</w:t>
      </w:r>
    </w:p>
    <w:p w14:paraId="6C760A98">
      <w:pPr>
        <w:spacing w:after="0" w:line="240" w:lineRule="auto"/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Царюк Артур Юрійович ас.</w:t>
      </w:r>
    </w:p>
    <w:p w14:paraId="1064A377">
      <w:pPr>
        <w:spacing w:after="0" w:line="240" w:lineRule="auto"/>
        <w:rPr>
          <w:sz w:val="24"/>
          <w:szCs w:val="24"/>
          <w:lang w:val="ru-RU"/>
        </w:rPr>
      </w:pP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>Циганчук Євгеній Володимирович ас.</w:t>
      </w:r>
      <w:r>
        <w:rPr>
          <w:sz w:val="24"/>
          <w:szCs w:val="24"/>
          <w:lang w:val="ru-RU"/>
        </w:rPr>
        <w:br w:type="textWrapping"/>
      </w:r>
    </w:p>
    <w:p w14:paraId="634B6D87">
      <w:pPr>
        <w:rPr>
          <w:lang w:val="ru-RU"/>
        </w:rPr>
      </w:pPr>
    </w:p>
    <w:p w14:paraId="57CB498C">
      <w:pPr>
        <w:rPr>
          <w:lang w:val="ru-RU"/>
        </w:rPr>
      </w:pPr>
    </w:p>
    <w:p w14:paraId="7A0E4FCB">
      <w:pPr>
        <w:rPr>
          <w:lang w:val="ru-RU"/>
        </w:rPr>
      </w:pPr>
    </w:p>
    <w:p w14:paraId="437655DE">
      <w:pPr>
        <w:rPr>
          <w:lang w:val="ru-RU"/>
        </w:rPr>
      </w:pPr>
    </w:p>
    <w:p w14:paraId="13688B4D">
      <w:pPr>
        <w:rPr>
          <w:lang w:val="ru-RU"/>
        </w:rPr>
      </w:pPr>
    </w:p>
    <w:p w14:paraId="2CC2788C">
      <w:pPr>
        <w:rPr>
          <w:lang w:val="ru-RU"/>
        </w:rPr>
      </w:pPr>
    </w:p>
    <w:p w14:paraId="36CDF344">
      <w:pPr>
        <w:rPr>
          <w:lang w:val="ru-RU"/>
        </w:rPr>
      </w:pPr>
    </w:p>
    <w:p w14:paraId="3F08B3D1">
      <w:pPr>
        <w:rPr>
          <w:lang w:val="ru-RU"/>
        </w:rPr>
      </w:pPr>
    </w:p>
    <w:p w14:paraId="7CD8DA4C">
      <w:pPr>
        <w:rPr>
          <w:lang w:val="ru-RU"/>
        </w:rPr>
      </w:pPr>
    </w:p>
    <w:p w14:paraId="5776384E">
      <w:pPr>
        <w:rPr>
          <w:lang w:val="ru-RU"/>
        </w:rPr>
      </w:pPr>
    </w:p>
    <w:p w14:paraId="546135F9">
      <w:pPr>
        <w:rPr>
          <w:lang w:val="ru-RU"/>
        </w:rPr>
      </w:pPr>
    </w:p>
    <w:p w14:paraId="7FF53DC6">
      <w:pPr>
        <w:rPr>
          <w:lang w:val="ru-RU"/>
        </w:rPr>
      </w:pPr>
    </w:p>
    <w:p w14:paraId="59653771">
      <w:pPr>
        <w:rPr>
          <w:lang w:val="ru-RU"/>
        </w:rPr>
      </w:pPr>
    </w:p>
    <w:p w14:paraId="52DDDDD8">
      <w:pPr>
        <w:rPr>
          <w:lang w:val="ru-RU"/>
        </w:rPr>
      </w:pPr>
    </w:p>
    <w:p w14:paraId="738A1ED4">
      <w:pPr>
        <w:rPr>
          <w:lang w:val="ru-RU"/>
        </w:rPr>
      </w:pPr>
    </w:p>
    <w:p w14:paraId="310BD6A5">
      <w:pPr>
        <w:rPr>
          <w:lang w:val="ru-RU"/>
        </w:rPr>
      </w:pPr>
    </w:p>
    <w:p w14:paraId="71CFFB26">
      <w:pPr>
        <w:rPr>
          <w:lang w:val="ru-RU"/>
        </w:rPr>
      </w:pPr>
    </w:p>
    <w:p w14:paraId="1B04CC02">
      <w:pPr>
        <w:rPr>
          <w:lang w:val="ru-RU"/>
        </w:rPr>
      </w:pPr>
    </w:p>
    <w:p w14:paraId="4EC9D465">
      <w:pPr>
        <w:spacing w:after="0" w:line="240" w:lineRule="auto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ПРАКТИЧНЕ ЗАНЯТТЯ</w:t>
      </w:r>
    </w:p>
    <w:p w14:paraId="547E8342">
      <w:pPr>
        <w:spacing w:after="0" w:line="240" w:lineRule="auto"/>
        <w:jc w:val="center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Практичне заняття №14</w:t>
      </w:r>
    </w:p>
    <w:p w14:paraId="147E6454">
      <w:pPr>
        <w:spacing w:after="0" w:line="240" w:lineRule="auto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Тема 14: Мультидисциплінарний підхід в реабілітації поранених після проведення реконструктивних операцій. Мультидисциплінарна реабілітаційна команда. Організація реабілітації поранених в Україні. Особливості та можливості реабілітаційного лікування у південному регіоні.</w:t>
      </w:r>
    </w:p>
    <w:p w14:paraId="4FDBACD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Мета:</w:t>
      </w:r>
      <w:r>
        <w:rPr>
          <w:sz w:val="24"/>
          <w:szCs w:val="24"/>
          <w:lang w:val="ru-RU"/>
        </w:rPr>
        <w:t xml:space="preserve"> Сформувати у студентів уявлення про організацію комплексної реабілітації пацієнтів після реконструктивних хірургічних втручань, ознайомити з принципами міждисциплінарної взаємодії в команді та особливостями реабілітаційного процесу в умовах південного регіону України.</w:t>
      </w:r>
    </w:p>
    <w:p w14:paraId="534345B1">
      <w:pPr>
        <w:spacing w:after="0" w:line="240" w:lineRule="auto"/>
        <w:rPr>
          <w:rFonts w:cs="Times New Roman"/>
          <w:color w:val="4BACC6" w:themeColor="accent5"/>
          <w:sz w:val="24"/>
          <w:szCs w:val="24"/>
          <w:lang w:val="ru-RU"/>
          <w14:textFill>
            <w14:solidFill>
              <w14:schemeClr w14:val="accent5"/>
            </w14:solidFill>
          </w14:textFill>
        </w:rPr>
      </w:pPr>
      <w:r>
        <w:rPr>
          <w:rFonts w:cs="Times New Roman"/>
          <w:b/>
          <w:bCs/>
          <w:sz w:val="24"/>
          <w:szCs w:val="24"/>
          <w:lang w:val="uk-UA"/>
        </w:rPr>
        <w:t>Очікувані результати</w:t>
      </w:r>
    </w:p>
    <w:p w14:paraId="56D580B9">
      <w:pPr>
        <w:spacing w:after="0" w:line="240" w:lineRule="auto"/>
        <w:rPr>
          <w:rFonts w:cs="Times New Roman"/>
          <w:sz w:val="24"/>
          <w:szCs w:val="24"/>
          <w:lang w:val="ru-RU"/>
        </w:rPr>
      </w:pPr>
      <w:r>
        <w:rPr>
          <w:rFonts w:cs="Times New Roman"/>
          <w:i/>
          <w:iCs/>
          <w:sz w:val="24"/>
          <w:szCs w:val="24"/>
          <w:lang w:val="uk-UA"/>
        </w:rPr>
        <w:t>В результаті вивчення здобувачі повинні знати:</w:t>
      </w:r>
    </w:p>
    <w:p w14:paraId="57B828D9">
      <w:pPr>
        <w:pStyle w:val="16"/>
        <w:widowControl w:val="0"/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lang w:val="uk-UA"/>
        </w:rPr>
        <w:t>Структуру реабілітаційної служби</w:t>
      </w:r>
    </w:p>
    <w:p w14:paraId="4F03FF66">
      <w:pPr>
        <w:pStyle w:val="16"/>
        <w:widowControl w:val="0"/>
        <w:numPr>
          <w:ilvl w:val="0"/>
          <w:numId w:val="7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Систему обліку і порядок заповнення облікової документації</w:t>
      </w:r>
    </w:p>
    <w:p w14:paraId="67B80099">
      <w:pPr>
        <w:pStyle w:val="16"/>
        <w:widowControl w:val="0"/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Сучасні міжнародні підходи до реабілітації</w:t>
      </w:r>
    </w:p>
    <w:p w14:paraId="6769BB7A">
      <w:pPr>
        <w:pStyle w:val="16"/>
        <w:widowControl w:val="0"/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Основні закономірності та особливості мультидисциплінарного підходу в реабілітації поранених</w:t>
      </w:r>
    </w:p>
    <w:p w14:paraId="7C4A9CAC">
      <w:pPr>
        <w:pStyle w:val="16"/>
        <w:widowControl w:val="0"/>
        <w:numPr>
          <w:ilvl w:val="0"/>
          <w:numId w:val="7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ru-RU"/>
        </w:rPr>
        <w:t>Етапи реабілітаційного процесу</w:t>
      </w:r>
    </w:p>
    <w:p w14:paraId="4658270E">
      <w:pPr>
        <w:pStyle w:val="16"/>
        <w:widowControl w:val="0"/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Інноваційні технології реабілітації пацієнтів</w:t>
      </w:r>
    </w:p>
    <w:p w14:paraId="5D9A7FDF">
      <w:pPr>
        <w:pStyle w:val="16"/>
        <w:widowControl w:val="0"/>
        <w:numPr>
          <w:ilvl w:val="0"/>
          <w:numId w:val="7"/>
        </w:numPr>
        <w:tabs>
          <w:tab w:val="left" w:pos="284"/>
          <w:tab w:val="left" w:pos="426"/>
        </w:tabs>
        <w:suppressAutoHyphens/>
        <w:spacing w:after="0" w:line="240" w:lineRule="auto"/>
        <w:ind w:left="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Психологічну реабілітацію поранених, основні психічні ускладнення та методи психологічної допомоги.</w:t>
      </w:r>
    </w:p>
    <w:p w14:paraId="0B2874E4">
      <w:pPr>
        <w:widowControl w:val="0"/>
        <w:spacing w:after="0" w:line="240" w:lineRule="auto"/>
        <w:jc w:val="both"/>
        <w:rPr>
          <w:rFonts w:cs="Times New Roman"/>
          <w:i/>
          <w:iCs/>
          <w:color w:val="4BACC6" w:themeColor="accent5"/>
          <w:sz w:val="24"/>
          <w:szCs w:val="24"/>
          <w:lang w:val="uk-UA"/>
          <w14:textFill>
            <w14:solidFill>
              <w14:schemeClr w14:val="accent5"/>
            </w14:solidFill>
          </w14:textFill>
        </w:rPr>
      </w:pPr>
    </w:p>
    <w:p w14:paraId="17F480E9">
      <w:pPr>
        <w:pStyle w:val="168"/>
        <w:spacing w:before="0" w:after="0" w:line="240" w:lineRule="auto"/>
        <w:jc w:val="both"/>
        <w:rPr>
          <w:rFonts w:cs="Times New Roman"/>
          <w:b/>
          <w:bCs/>
          <w:color w:val="auto"/>
          <w:u w:val="single"/>
        </w:rPr>
      </w:pPr>
      <w:r>
        <w:rPr>
          <w:rFonts w:cs="Times New Roman"/>
          <w:b/>
          <w:bCs/>
          <w:color w:val="auto"/>
          <w:u w:val="single"/>
        </w:rPr>
        <w:t xml:space="preserve">Основні поняття: </w:t>
      </w:r>
    </w:p>
    <w:p w14:paraId="1A023580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</w:rPr>
        <w:t>Знати</w:t>
      </w:r>
      <w:r>
        <w:rPr>
          <w:b/>
          <w:bCs/>
          <w:color w:val="auto"/>
        </w:rPr>
        <w:t xml:space="preserve"> </w:t>
      </w:r>
      <w:r>
        <w:rPr>
          <w:rStyle w:val="35"/>
          <w:color w:val="auto"/>
        </w:rPr>
        <w:t xml:space="preserve">завдання та структуру </w:t>
      </w:r>
      <w:r>
        <w:rPr>
          <w:rStyle w:val="35"/>
          <w:color w:val="auto"/>
          <w:lang w:val="uk-UA"/>
        </w:rPr>
        <w:t>м</w:t>
      </w:r>
      <w:r>
        <w:rPr>
          <w:color w:val="auto"/>
        </w:rPr>
        <w:t>ультидисциплінарн</w:t>
      </w:r>
      <w:r>
        <w:rPr>
          <w:color w:val="auto"/>
          <w:lang w:val="uk-UA"/>
        </w:rPr>
        <w:t>ого</w:t>
      </w:r>
      <w:r>
        <w:rPr>
          <w:color w:val="auto"/>
        </w:rPr>
        <w:t xml:space="preserve"> підх</w:t>
      </w:r>
      <w:r>
        <w:rPr>
          <w:color w:val="auto"/>
          <w:lang w:val="uk-UA"/>
        </w:rPr>
        <w:t>о</w:t>
      </w:r>
      <w:r>
        <w:rPr>
          <w:color w:val="auto"/>
        </w:rPr>
        <w:t>д</w:t>
      </w:r>
      <w:r>
        <w:rPr>
          <w:color w:val="auto"/>
          <w:lang w:val="uk-UA"/>
        </w:rPr>
        <w:t>у</w:t>
      </w:r>
      <w:r>
        <w:rPr>
          <w:color w:val="auto"/>
        </w:rPr>
        <w:t xml:space="preserve"> в реабілітації поранених</w:t>
      </w:r>
      <w:r>
        <w:rPr>
          <w:rStyle w:val="35"/>
          <w:color w:val="auto"/>
        </w:rPr>
        <w:t>;</w:t>
      </w:r>
    </w:p>
    <w:p w14:paraId="61CB3495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</w:rPr>
        <w:t>Міжнародну та  вітчизняну класифікації;</w:t>
      </w:r>
    </w:p>
    <w:p w14:paraId="4BAD241A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  <w:lang w:val="uk-UA"/>
        </w:rPr>
        <w:t>Загальні принципи післяопераційної реабілітації;</w:t>
      </w:r>
    </w:p>
    <w:p w14:paraId="4C4EC978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</w:rPr>
        <w:t>Заповнювати документацію;</w:t>
      </w:r>
    </w:p>
    <w:p w14:paraId="0593DA23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  <w:lang w:val="uk-UA"/>
        </w:rPr>
        <w:t>Знати етапи медичної реабілітації</w:t>
      </w:r>
    </w:p>
    <w:p w14:paraId="14242684">
      <w:pPr>
        <w:pStyle w:val="168"/>
        <w:numPr>
          <w:ilvl w:val="0"/>
          <w:numId w:val="8"/>
        </w:numPr>
        <w:spacing w:before="0" w:after="0" w:line="240" w:lineRule="auto"/>
        <w:jc w:val="both"/>
        <w:rPr>
          <w:color w:val="auto"/>
        </w:rPr>
      </w:pPr>
      <w:r>
        <w:rPr>
          <w:rStyle w:val="35"/>
          <w:color w:val="auto"/>
          <w:lang w:val="uk-UA"/>
        </w:rPr>
        <w:t>Особливості психологічної реабілітації</w:t>
      </w:r>
      <w:r>
        <w:rPr>
          <w:rStyle w:val="35"/>
          <w:color w:val="auto"/>
        </w:rPr>
        <w:t xml:space="preserve">. </w:t>
      </w:r>
    </w:p>
    <w:p w14:paraId="2645C9B6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br w:type="textWrapping"/>
      </w:r>
      <w:r>
        <w:rPr>
          <w:b/>
          <w:sz w:val="24"/>
          <w:szCs w:val="24"/>
          <w:u w:val="single"/>
          <w:lang w:val="ru-RU"/>
        </w:rPr>
        <w:t>Обладнання: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стенди, презентації, навчальні відеоматеріали, протоколи реабілітації, форми медичної документації, макети протезів, клінічні кейси.</w:t>
      </w:r>
    </w:p>
    <w:p w14:paraId="2634ADA3">
      <w:pPr>
        <w:spacing w:after="0" w:line="240" w:lineRule="auto"/>
        <w:jc w:val="both"/>
        <w:rPr>
          <w:rFonts w:eastAsia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:u w:val="single"/>
          <w:lang w:val="ru-RU"/>
          <w14:textFill>
            <w14:solidFill>
              <w14:schemeClr w14:val="tx1"/>
            </w14:solidFill>
          </w14:textFill>
        </w:rPr>
        <w:t>Навчальний час:</w:t>
      </w:r>
      <w:r>
        <w:rPr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 xml:space="preserve"> 4 години.</w:t>
      </w:r>
    </w:p>
    <w:p w14:paraId="4DF61A35">
      <w:pPr>
        <w:spacing w:after="0" w:line="240" w:lineRule="auto"/>
        <w:jc w:val="both"/>
        <w:rPr>
          <w:rFonts w:eastAsia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</w:p>
    <w:p w14:paraId="755854D8">
      <w:pPr>
        <w:spacing w:after="0" w:line="240" w:lineRule="auto"/>
        <w:jc w:val="both"/>
        <w:rPr>
          <w:rFonts w:eastAsia="Times New Roman" w:cs="Times New Roman"/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План:</w:t>
      </w:r>
    </w:p>
    <w:p w14:paraId="58BBCA65">
      <w:pPr>
        <w:spacing w:after="0" w:line="240" w:lineRule="auto"/>
        <w:jc w:val="both"/>
        <w:rPr>
          <w:rFonts w:eastAsia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І. Організаційний момент: привітання, перевірка присутніх, повідомлення теми, мети заняття, мотивація студентів щодо вивчення теми.</w:t>
      </w:r>
    </w:p>
    <w:p w14:paraId="37505C22">
      <w:pPr>
        <w:spacing w:after="0" w:line="240" w:lineRule="auto"/>
        <w:jc w:val="both"/>
        <w:rPr>
          <w:rFonts w:eastAsia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ІІ. Контроль опорних знань: письмова робота, письмове тестування, фронтальне опитування, рішення практичних задач.</w:t>
      </w:r>
    </w:p>
    <w:p w14:paraId="20EB5D38">
      <w:pPr>
        <w:spacing w:after="0" w:line="240" w:lineRule="auto"/>
        <w:jc w:val="both"/>
        <w:rPr>
          <w:rFonts w:eastAsia="Times New Roman"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2.1. Вимоги до теоретичної готовності студентів до виконання практичних занять: вивчення завдань, структури та  допомоги у реабілітації поранених після проведення реконструктивних операцій, заповнення документації, клінічні огляди поранених, застосування вітчизняної до міжнародної класифікацій, робота студентів з амбулаторними картами та історіями хвороб, знайомство і вивчення студентами організаційно-методично</w:t>
      </w:r>
      <w:r>
        <w:rPr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 xml:space="preserve">ї </w:t>
      </w:r>
      <w:r>
        <w:rPr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роботи.</w:t>
      </w:r>
    </w:p>
    <w:p w14:paraId="736F80A0">
      <w:pPr>
        <w:spacing w:after="0" w:line="240" w:lineRule="auto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Зміст теми</w:t>
      </w:r>
    </w:p>
    <w:p w14:paraId="2F3BF72E">
      <w:pPr>
        <w:spacing w:after="0" w:line="240" w:lineRule="auto"/>
        <w:rPr>
          <w:rFonts w:cs="Times New Roman"/>
          <w:sz w:val="24"/>
          <w:szCs w:val="24"/>
          <w:lang w:val="ru-RU"/>
        </w:rPr>
      </w:pPr>
    </w:p>
    <w:p w14:paraId="17A674A3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Мультидисциплінарний підхід у реабілітації поранених після проведення реконструктивних операцій</w:t>
      </w:r>
    </w:p>
    <w:p w14:paraId="67D54417">
      <w:pPr>
        <w:spacing w:after="0" w:line="240" w:lineRule="auto"/>
        <w:jc w:val="both"/>
        <w:rPr>
          <w:rFonts w:cs="Times New Roman"/>
          <w:sz w:val="24"/>
          <w:szCs w:val="24"/>
          <w:lang w:val="ru-RU"/>
        </w:rPr>
      </w:pPr>
    </w:p>
    <w:p w14:paraId="7BA20D01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1. Загальні принципи післяопераційної реабілітації</w:t>
      </w:r>
    </w:p>
    <w:p w14:paraId="12D9D9B9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rStyle w:val="36"/>
          <w:lang w:val="ru-RU"/>
        </w:rPr>
        <w:t>Реабілітація</w:t>
      </w:r>
      <w:r>
        <w:rPr>
          <w:lang w:val="ru-RU"/>
        </w:rPr>
        <w:t xml:space="preserve"> — це процес надання допомоги людині з метою досягнення та підтримки </w:t>
      </w:r>
      <w:r>
        <w:rPr>
          <w:rStyle w:val="36"/>
          <w:lang w:val="ru-RU"/>
        </w:rPr>
        <w:t>оптимального рівня функціонування</w:t>
      </w:r>
      <w:r>
        <w:rPr>
          <w:lang w:val="ru-RU"/>
        </w:rPr>
        <w:t>, активної участі в житті суспільства та максимально можливої незалежності, з урахуванням її фізичних, психічних, соціальних та професійних потреб.</w:t>
      </w:r>
    </w:p>
    <w:p w14:paraId="4A825982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 Визначення ВООЗ: </w:t>
      </w:r>
      <w:r>
        <w:rPr>
          <w:rStyle w:val="18"/>
          <w:lang w:val="ru-RU"/>
        </w:rPr>
        <w:t>"Реабілітація — це набір заходів, спрямованих на оптимізацію функціонування осіб з порушенням здоров’я та на зменшення взаємодії з бар'єрами в оточенні."</w:t>
      </w:r>
    </w:p>
    <w:p w14:paraId="05B0BF20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У контексті військової хірургії реабілітація є </w:t>
      </w:r>
      <w:r>
        <w:rPr>
          <w:rStyle w:val="36"/>
          <w:lang w:val="ru-RU"/>
        </w:rPr>
        <w:t>невід’ємною частиною лікувального процесу</w:t>
      </w:r>
      <w:r>
        <w:rPr>
          <w:lang w:val="ru-RU"/>
        </w:rPr>
        <w:t>, що починається вже на етапі стабілізації стану та продовжується протягом усього життя пацієнта, при необхідності — циклічно.</w:t>
      </w:r>
    </w:p>
    <w:p w14:paraId="68A0DB81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Після реконструктивних втручань у постраждалих внаслідок бойових травм ключовим завданням є не лише збереження життя чи кінцівки, але й відновлення </w:t>
      </w:r>
      <w:r>
        <w:rPr>
          <w:rStyle w:val="36"/>
          <w:lang w:val="ru-RU"/>
        </w:rPr>
        <w:t>функціональної автономності</w:t>
      </w:r>
      <w:r>
        <w:rPr>
          <w:lang w:val="ru-RU"/>
        </w:rPr>
        <w:t xml:space="preserve"> та соціальної інтеграції пацієнта. Реабілітація в такому контексті розглядається як </w:t>
      </w:r>
      <w:r>
        <w:rPr>
          <w:rStyle w:val="36"/>
          <w:lang w:val="ru-RU"/>
        </w:rPr>
        <w:t>повноцінна складова лікувального процесу</w:t>
      </w:r>
      <w:r>
        <w:rPr>
          <w:lang w:val="ru-RU"/>
        </w:rPr>
        <w:t>, що розпочинається ще в умовах стаціонару.</w:t>
      </w:r>
    </w:p>
    <w:p w14:paraId="7E11DC7F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Реабілітація поранених охоплює фізичне, психоемоційне, соціальне та професійне відновлення і базується на:</w:t>
      </w:r>
    </w:p>
    <w:p w14:paraId="0E44DEEA">
      <w:pPr>
        <w:pStyle w:val="34"/>
        <w:numPr>
          <w:ilvl w:val="0"/>
          <w:numId w:val="9"/>
        </w:numPr>
        <w:spacing w:before="0" w:beforeAutospacing="0" w:after="0" w:afterAutospacing="0"/>
        <w:jc w:val="both"/>
      </w:pPr>
      <w:r>
        <w:t>біопсихосоціальній моделі функціонування (ICF);</w:t>
      </w:r>
    </w:p>
    <w:p w14:paraId="03286458">
      <w:pPr>
        <w:pStyle w:val="34"/>
        <w:numPr>
          <w:ilvl w:val="0"/>
          <w:numId w:val="9"/>
        </w:numPr>
        <w:spacing w:before="0" w:beforeAutospacing="0" w:after="0" w:afterAutospacing="0"/>
        <w:jc w:val="both"/>
      </w:pPr>
      <w:r>
        <w:t>принципах командної взаємодії;</w:t>
      </w:r>
    </w:p>
    <w:p w14:paraId="3F9E3353">
      <w:pPr>
        <w:pStyle w:val="34"/>
        <w:numPr>
          <w:ilvl w:val="0"/>
          <w:numId w:val="9"/>
        </w:numPr>
        <w:spacing w:before="0" w:beforeAutospacing="0" w:after="0" w:afterAutospacing="0"/>
        <w:jc w:val="both"/>
      </w:pPr>
      <w:r>
        <w:t>безперервності, поетапності та індивідуалізації.</w:t>
      </w:r>
    </w:p>
    <w:p w14:paraId="3323C934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2. Міжнародні підходи до реабілітації</w:t>
      </w:r>
    </w:p>
    <w:p w14:paraId="7B9C9830">
      <w:pPr>
        <w:pStyle w:val="34"/>
        <w:spacing w:before="0" w:beforeAutospacing="0" w:after="0" w:afterAutospacing="0"/>
        <w:ind w:firstLine="360"/>
        <w:jc w:val="both"/>
      </w:pPr>
    </w:p>
    <w:p w14:paraId="7B94CFEF">
      <w:pPr>
        <w:pStyle w:val="34"/>
        <w:spacing w:before="0" w:beforeAutospacing="0" w:after="0" w:afterAutospacing="0"/>
        <w:ind w:firstLine="360"/>
        <w:jc w:val="both"/>
      </w:pPr>
      <w:r>
        <w:t xml:space="preserve">Сучасна реабілітація базується на </w:t>
      </w:r>
      <w:r>
        <w:rPr>
          <w:rStyle w:val="36"/>
          <w:b w:val="0"/>
        </w:rPr>
        <w:t>Міжнародній класифікації функціонування, обмежень життєдіяльності та здоров’я (ICF)</w:t>
      </w:r>
      <w:r>
        <w:rPr>
          <w:b/>
        </w:rPr>
        <w:t>,</w:t>
      </w:r>
      <w:r>
        <w:t xml:space="preserve"> прийнятій ВООЗ (2001). </w:t>
      </w:r>
    </w:p>
    <w:p w14:paraId="056FBBCF">
      <w:pPr>
        <w:pStyle w:val="34"/>
        <w:spacing w:before="0" w:beforeAutospacing="0" w:after="0" w:afterAutospacing="0"/>
        <w:ind w:firstLine="360"/>
        <w:jc w:val="both"/>
      </w:pPr>
      <w:r>
        <w:t>ICF (</w:t>
      </w:r>
      <w:r>
        <w:rPr>
          <w:rStyle w:val="18"/>
        </w:rPr>
        <w:t>International Classification of Functioning, Disability and Health</w:t>
      </w:r>
      <w:r>
        <w:t>) — це система, яка дає змогу цілісно оцінювати стан здоров’я людини, її функціональні можливості та взаємодію з навколишнім середовищем.</w:t>
      </w:r>
    </w:p>
    <w:p w14:paraId="37607F00">
      <w:pPr>
        <w:pStyle w:val="34"/>
        <w:spacing w:before="0" w:beforeAutospacing="0" w:after="0" w:afterAutospacing="0"/>
        <w:jc w:val="both"/>
        <w:rPr>
          <w:lang w:val="ru-RU"/>
        </w:rPr>
      </w:pPr>
      <w:r>
        <w:t>ICF</w:t>
      </w:r>
      <w:r>
        <w:rPr>
          <w:lang w:val="ru-RU"/>
        </w:rPr>
        <w:t xml:space="preserve"> розглядає інвалідність не як «діагноз», а як </w:t>
      </w:r>
      <w:r>
        <w:rPr>
          <w:rStyle w:val="36"/>
          <w:b w:val="0"/>
          <w:lang w:val="ru-RU"/>
        </w:rPr>
        <w:t>взаємодію стану здоров’я з факторами середовища та особистості</w:t>
      </w:r>
      <w:r>
        <w:rPr>
          <w:b/>
          <w:lang w:val="ru-RU"/>
        </w:rPr>
        <w:t>.</w:t>
      </w:r>
      <w:r>
        <w:rPr>
          <w:b/>
          <w:lang w:val="ru-RU"/>
        </w:rPr>
        <w:br w:type="textWrapping"/>
      </w:r>
      <w:r>
        <w:rPr>
          <w:lang w:val="ru-RU"/>
        </w:rPr>
        <w:t>Тому вона використовується у</w:t>
      </w:r>
      <w:r>
        <w:rPr>
          <w:b/>
          <w:lang w:val="ru-RU"/>
        </w:rPr>
        <w:t xml:space="preserve"> </w:t>
      </w:r>
      <w:r>
        <w:rPr>
          <w:rStyle w:val="36"/>
          <w:b w:val="0"/>
          <w:lang w:val="ru-RU"/>
        </w:rPr>
        <w:t>медико-соціальній експертизі, реабілітації, статистиці здоров’я, плануванні соціальної політики</w:t>
      </w:r>
      <w:r>
        <w:rPr>
          <w:b/>
          <w:lang w:val="ru-RU"/>
        </w:rPr>
        <w:t>.</w:t>
      </w:r>
      <w:r>
        <w:rPr>
          <w:lang w:val="ru-RU"/>
        </w:rPr>
        <w:br w:type="textWrapping"/>
      </w:r>
      <w:r>
        <w:rPr>
          <w:lang w:val="ru-RU"/>
        </w:rPr>
        <w:t xml:space="preserve">Її головна ідея — </w:t>
      </w:r>
      <w:r>
        <w:rPr>
          <w:rStyle w:val="36"/>
          <w:b w:val="0"/>
          <w:lang w:val="ru-RU"/>
        </w:rPr>
        <w:t>перехід від медичної моделі («хвороба</w:t>
      </w:r>
      <w:r>
        <w:rPr>
          <w:rStyle w:val="36"/>
          <w:lang w:val="ru-RU"/>
        </w:rPr>
        <w:t xml:space="preserve"> = </w:t>
      </w:r>
      <w:r>
        <w:rPr>
          <w:rStyle w:val="36"/>
          <w:b w:val="0"/>
          <w:lang w:val="ru-RU"/>
        </w:rPr>
        <w:t>інвалідність») до біопсихосоціальної</w:t>
      </w:r>
      <w:r>
        <w:rPr>
          <w:lang w:val="ru-RU"/>
        </w:rPr>
        <w:t>, де враховується не лише діагноз, а й особистість, середовище та соціальний контекст.</w:t>
      </w:r>
    </w:p>
    <w:p w14:paraId="086331FB">
      <w:pPr>
        <w:pStyle w:val="34"/>
        <w:spacing w:before="0" w:beforeAutospacing="0" w:after="0" w:afterAutospacing="0"/>
        <w:jc w:val="both"/>
        <w:rPr>
          <w:lang w:val="ru-RU"/>
        </w:rPr>
      </w:pPr>
      <w:r>
        <w:t>ICF</w:t>
      </w:r>
      <w:r>
        <w:rPr>
          <w:lang w:val="ru-RU"/>
        </w:rPr>
        <w:t xml:space="preserve"> передбачає оцінку за трьома основними критеріями:</w:t>
      </w:r>
    </w:p>
    <w:p w14:paraId="58672488">
      <w:pPr>
        <w:pStyle w:val="34"/>
        <w:numPr>
          <w:ilvl w:val="0"/>
          <w:numId w:val="10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функції органів і структур;</w:t>
      </w:r>
    </w:p>
    <w:p w14:paraId="07F15A6A">
      <w:pPr>
        <w:pStyle w:val="34"/>
        <w:numPr>
          <w:ilvl w:val="0"/>
          <w:numId w:val="10"/>
        </w:numPr>
        <w:spacing w:before="0" w:beforeAutospacing="0" w:after="0" w:afterAutospacing="0"/>
        <w:jc w:val="both"/>
      </w:pPr>
      <w:r>
        <w:t>активність;</w:t>
      </w:r>
    </w:p>
    <w:p w14:paraId="5126424A">
      <w:pPr>
        <w:pStyle w:val="34"/>
        <w:numPr>
          <w:ilvl w:val="0"/>
          <w:numId w:val="10"/>
        </w:numPr>
        <w:spacing w:before="0" w:beforeAutospacing="0" w:after="0" w:afterAutospacing="0"/>
        <w:jc w:val="both"/>
      </w:pPr>
      <w:r>
        <w:t>участь у житті суспільства.</w:t>
      </w:r>
    </w:p>
    <w:p w14:paraId="096807D0">
      <w:pPr>
        <w:pStyle w:val="34"/>
        <w:spacing w:before="0" w:beforeAutospacing="0" w:after="0" w:afterAutospacing="0"/>
        <w:jc w:val="both"/>
      </w:pPr>
    </w:p>
    <w:p w14:paraId="5B8ED037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Segoe UI Symbol" w:hAnsi="Segoe UI Symbol" w:cs="Segoe UI Symbol"/>
          <w:color w:val="auto"/>
          <w:sz w:val="24"/>
          <w:szCs w:val="24"/>
        </w:rPr>
        <w:t>🔹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1). Функції органів і структур організму</w:t>
      </w:r>
    </w:p>
    <w:p w14:paraId="10D6C319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Цей компонент описує </w:t>
      </w:r>
      <w:r>
        <w:rPr>
          <w:rStyle w:val="36"/>
          <w:lang w:val="ru-RU"/>
        </w:rPr>
        <w:t>біологічний рівень</w:t>
      </w:r>
      <w:r>
        <w:rPr>
          <w:lang w:val="ru-RU"/>
        </w:rPr>
        <w:t>.</w:t>
      </w:r>
    </w:p>
    <w:p w14:paraId="1A0745E4">
      <w:pPr>
        <w:pStyle w:val="34"/>
        <w:numPr>
          <w:ilvl w:val="0"/>
          <w:numId w:val="11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Функції органів</w:t>
      </w:r>
      <w:r>
        <w:rPr>
          <w:lang w:val="ru-RU"/>
        </w:rPr>
        <w:t xml:space="preserve"> — це фізіологічні процеси систем організму (наприклад, функція дихання, серцевої діяльності, мислення, пам’яті).</w:t>
      </w:r>
    </w:p>
    <w:p w14:paraId="2410EAF6">
      <w:pPr>
        <w:pStyle w:val="34"/>
        <w:numPr>
          <w:ilvl w:val="0"/>
          <w:numId w:val="11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Структури організму</w:t>
      </w:r>
      <w:r>
        <w:rPr>
          <w:lang w:val="ru-RU"/>
        </w:rPr>
        <w:t xml:space="preserve"> — це анатомічні частини: органи, кінцівки, їхні сегменти.</w:t>
      </w:r>
    </w:p>
    <w:p w14:paraId="38129C82">
      <w:pPr>
        <w:pStyle w:val="34"/>
        <w:numPr>
          <w:ilvl w:val="0"/>
          <w:numId w:val="11"/>
        </w:numPr>
        <w:spacing w:before="0" w:beforeAutospacing="0" w:after="0" w:afterAutospacing="0"/>
        <w:jc w:val="both"/>
      </w:pPr>
      <w:r>
        <w:rPr>
          <w:rStyle w:val="36"/>
        </w:rPr>
        <w:t>Порушення</w:t>
      </w:r>
      <w:r>
        <w:t xml:space="preserve"> можуть бути:</w:t>
      </w:r>
    </w:p>
    <w:p w14:paraId="3D0B0975">
      <w:pPr>
        <w:pStyle w:val="34"/>
        <w:numPr>
          <w:ilvl w:val="1"/>
          <w:numId w:val="11"/>
        </w:numPr>
        <w:spacing w:before="0" w:beforeAutospacing="0" w:after="0" w:afterAutospacing="0"/>
        <w:jc w:val="both"/>
      </w:pPr>
      <w:r>
        <w:t>тимчасові чи постійні;</w:t>
      </w:r>
    </w:p>
    <w:p w14:paraId="6B76AC5C">
      <w:pPr>
        <w:pStyle w:val="34"/>
        <w:numPr>
          <w:ilvl w:val="1"/>
          <w:numId w:val="11"/>
        </w:numPr>
        <w:spacing w:before="0" w:beforeAutospacing="0" w:after="0" w:afterAutospacing="0"/>
        <w:jc w:val="both"/>
      </w:pPr>
      <w:r>
        <w:t>легкі чи тяжкі;</w:t>
      </w:r>
    </w:p>
    <w:p w14:paraId="42BF43FA">
      <w:pPr>
        <w:pStyle w:val="34"/>
        <w:numPr>
          <w:ilvl w:val="1"/>
          <w:numId w:val="11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локальні (втрата функції пальця) чи системні (ураження нервової системи).</w:t>
      </w:r>
    </w:p>
    <w:p w14:paraId="3E9F9FB8">
      <w:pPr>
        <w:pStyle w:val="34"/>
        <w:spacing w:before="0" w:beforeAutospacing="0" w:after="0" w:afterAutospacing="0"/>
        <w:jc w:val="both"/>
      </w:pPr>
      <w:r>
        <w:rPr>
          <w:rStyle w:val="36"/>
        </w:rPr>
        <w:t>Приклади:</w:t>
      </w:r>
    </w:p>
    <w:p w14:paraId="0CBF1DC7">
      <w:pPr>
        <w:pStyle w:val="34"/>
        <w:numPr>
          <w:ilvl w:val="0"/>
          <w:numId w:val="1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порушення зору (часткова втрата або сліпота);</w:t>
      </w:r>
    </w:p>
    <w:p w14:paraId="1AE61D28">
      <w:pPr>
        <w:pStyle w:val="34"/>
        <w:numPr>
          <w:ilvl w:val="0"/>
          <w:numId w:val="1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ураження опорно-рухового апарату (ампутація, контрактури);</w:t>
      </w:r>
    </w:p>
    <w:p w14:paraId="08F95469">
      <w:pPr>
        <w:pStyle w:val="34"/>
        <w:numPr>
          <w:ilvl w:val="0"/>
          <w:numId w:val="1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розлади пам’яті, мови чи психічних функцій.</w:t>
      </w:r>
    </w:p>
    <w:p w14:paraId="79D09460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Segoe UI Symbol" w:hAnsi="Segoe UI Symbol" w:cs="Segoe UI Symbol"/>
          <w:color w:val="auto"/>
          <w:sz w:val="24"/>
          <w:szCs w:val="24"/>
        </w:rPr>
        <w:t>🔹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2). Активність</w:t>
      </w:r>
    </w:p>
    <w:p w14:paraId="51D92760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Описує </w:t>
      </w:r>
      <w:r>
        <w:rPr>
          <w:rStyle w:val="36"/>
          <w:lang w:val="ru-RU"/>
        </w:rPr>
        <w:t>індивідуальні дії та завдання</w:t>
      </w:r>
      <w:r>
        <w:rPr>
          <w:lang w:val="ru-RU"/>
        </w:rPr>
        <w:t>, які людина може чи не може виконати.</w:t>
      </w:r>
      <w:r>
        <w:rPr>
          <w:lang w:val="ru-RU"/>
        </w:rPr>
        <w:br w:type="textWrapping"/>
      </w:r>
      <w:r>
        <w:rPr>
          <w:lang w:val="ru-RU"/>
        </w:rPr>
        <w:t>Тут аналізується, наскільки здоров’я дозволяє людині бути самостійною у повсякденному житті.</w:t>
      </w:r>
    </w:p>
    <w:p w14:paraId="12C87B80">
      <w:pPr>
        <w:pStyle w:val="34"/>
        <w:numPr>
          <w:ilvl w:val="0"/>
          <w:numId w:val="13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Обмеження активності</w:t>
      </w:r>
      <w:r>
        <w:rPr>
          <w:lang w:val="ru-RU"/>
        </w:rPr>
        <w:t xml:space="preserve"> — це труднощі у виконанні завдань:</w:t>
      </w:r>
    </w:p>
    <w:p w14:paraId="30368703">
      <w:pPr>
        <w:pStyle w:val="34"/>
        <w:numPr>
          <w:ilvl w:val="1"/>
          <w:numId w:val="13"/>
        </w:numPr>
        <w:spacing w:before="0" w:beforeAutospacing="0" w:after="0" w:afterAutospacing="0"/>
        <w:jc w:val="both"/>
      </w:pPr>
      <w:r>
        <w:t>легкі (повільне пересування);</w:t>
      </w:r>
    </w:p>
    <w:p w14:paraId="36E649B2">
      <w:pPr>
        <w:pStyle w:val="34"/>
        <w:numPr>
          <w:ilvl w:val="1"/>
          <w:numId w:val="13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середні (потреба в допомозі з одяганням);</w:t>
      </w:r>
    </w:p>
    <w:p w14:paraId="3BA5EFB5">
      <w:pPr>
        <w:pStyle w:val="34"/>
        <w:numPr>
          <w:ilvl w:val="1"/>
          <w:numId w:val="13"/>
        </w:numPr>
        <w:spacing w:before="0" w:beforeAutospacing="0" w:after="0" w:afterAutospacing="0"/>
        <w:jc w:val="both"/>
      </w:pPr>
      <w:r>
        <w:t>тяжкі (неможливість самостійного харчування).</w:t>
      </w:r>
    </w:p>
    <w:p w14:paraId="67E9B583">
      <w:pPr>
        <w:pStyle w:val="34"/>
        <w:spacing w:before="0" w:beforeAutospacing="0" w:after="0" w:afterAutospacing="0"/>
        <w:jc w:val="both"/>
      </w:pPr>
      <w:r>
        <w:rPr>
          <w:rStyle w:val="36"/>
        </w:rPr>
        <w:t>Приклади сфер активності:</w:t>
      </w:r>
    </w:p>
    <w:p w14:paraId="0BE55CBA">
      <w:pPr>
        <w:pStyle w:val="34"/>
        <w:numPr>
          <w:ilvl w:val="0"/>
          <w:numId w:val="14"/>
        </w:numPr>
        <w:spacing w:before="0" w:beforeAutospacing="0" w:after="0" w:afterAutospacing="0"/>
        <w:jc w:val="both"/>
      </w:pPr>
      <w:r>
        <w:t>пересування (ходьба, користування транспортом);</w:t>
      </w:r>
    </w:p>
    <w:p w14:paraId="792301E4">
      <w:pPr>
        <w:pStyle w:val="34"/>
        <w:numPr>
          <w:ilvl w:val="0"/>
          <w:numId w:val="14"/>
        </w:numPr>
        <w:spacing w:before="0" w:beforeAutospacing="0" w:after="0" w:afterAutospacing="0"/>
        <w:jc w:val="both"/>
      </w:pPr>
      <w:r>
        <w:t>самообслуговування (одягатися, митися, харчуватися);</w:t>
      </w:r>
    </w:p>
    <w:p w14:paraId="4F0C7C1E">
      <w:pPr>
        <w:pStyle w:val="34"/>
        <w:numPr>
          <w:ilvl w:val="0"/>
          <w:numId w:val="1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спілкування (говорити, розуміти мову, писати, користуватися телефоном);</w:t>
      </w:r>
    </w:p>
    <w:p w14:paraId="2D026124">
      <w:pPr>
        <w:pStyle w:val="34"/>
        <w:numPr>
          <w:ilvl w:val="0"/>
          <w:numId w:val="1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навчання, виконання роботи, управління фінансами.</w:t>
      </w:r>
    </w:p>
    <w:p w14:paraId="1DE45385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Segoe UI Symbol" w:hAnsi="Segoe UI Symbol" w:cs="Segoe UI Symbol"/>
          <w:color w:val="auto"/>
          <w:sz w:val="24"/>
          <w:szCs w:val="24"/>
        </w:rPr>
        <w:t>🔹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3). Участь у житті суспільства</w:t>
      </w:r>
    </w:p>
    <w:p w14:paraId="5B64D18F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Цей рівень відображає </w:t>
      </w:r>
      <w:r>
        <w:rPr>
          <w:rStyle w:val="36"/>
          <w:b w:val="0"/>
          <w:lang w:val="ru-RU"/>
        </w:rPr>
        <w:t>соціальну інтеграцію людини</w:t>
      </w:r>
      <w:r>
        <w:rPr>
          <w:lang w:val="ru-RU"/>
        </w:rPr>
        <w:t>.</w:t>
      </w:r>
      <w:r>
        <w:rPr>
          <w:lang w:val="ru-RU"/>
        </w:rPr>
        <w:br w:type="textWrapping"/>
      </w:r>
      <w:r>
        <w:rPr>
          <w:lang w:val="ru-RU"/>
        </w:rPr>
        <w:t>Оцінюється, наскільки особа може брати участь у соціальних ролях і суспільних відносинах.</w:t>
      </w:r>
    </w:p>
    <w:p w14:paraId="45C83649">
      <w:pPr>
        <w:pStyle w:val="34"/>
        <w:spacing w:before="0" w:beforeAutospacing="0" w:after="0" w:afterAutospacing="0"/>
        <w:ind w:left="720"/>
        <w:jc w:val="both"/>
        <w:rPr>
          <w:lang w:val="ru-RU"/>
        </w:rPr>
      </w:pPr>
      <w:r>
        <w:rPr>
          <w:rStyle w:val="36"/>
          <w:lang w:val="ru-RU"/>
        </w:rPr>
        <w:t>Обмеження участі</w:t>
      </w:r>
      <w:r>
        <w:rPr>
          <w:lang w:val="ru-RU"/>
        </w:rPr>
        <w:t xml:space="preserve"> можуть виникати через:</w:t>
      </w:r>
    </w:p>
    <w:p w14:paraId="2CD77878">
      <w:pPr>
        <w:pStyle w:val="34"/>
        <w:numPr>
          <w:ilvl w:val="1"/>
          <w:numId w:val="15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фізичні бар’єри (відсутність пандусів, поганий транспорт);</w:t>
      </w:r>
    </w:p>
    <w:p w14:paraId="61356749">
      <w:pPr>
        <w:pStyle w:val="34"/>
        <w:numPr>
          <w:ilvl w:val="1"/>
          <w:numId w:val="15"/>
        </w:numPr>
        <w:spacing w:before="0" w:beforeAutospacing="0" w:after="0" w:afterAutospacing="0"/>
        <w:jc w:val="both"/>
      </w:pPr>
      <w:r>
        <w:t>соціальні бар’єри (стигматизація, дискримінація);</w:t>
      </w:r>
    </w:p>
    <w:p w14:paraId="58C85799">
      <w:pPr>
        <w:pStyle w:val="34"/>
        <w:numPr>
          <w:ilvl w:val="1"/>
          <w:numId w:val="15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економічні бар’єри (відсутність доступу до роботи).</w:t>
      </w:r>
    </w:p>
    <w:p w14:paraId="18D580FF">
      <w:pPr>
        <w:pStyle w:val="34"/>
        <w:spacing w:before="0" w:beforeAutospacing="0" w:after="0" w:afterAutospacing="0"/>
        <w:jc w:val="both"/>
      </w:pPr>
      <w:r>
        <w:rPr>
          <w:rStyle w:val="36"/>
        </w:rPr>
        <w:t>Приклади сфер участі:</w:t>
      </w:r>
    </w:p>
    <w:p w14:paraId="51C26624">
      <w:pPr>
        <w:pStyle w:val="34"/>
        <w:numPr>
          <w:ilvl w:val="0"/>
          <w:numId w:val="16"/>
        </w:numPr>
        <w:spacing w:before="0" w:beforeAutospacing="0" w:after="0" w:afterAutospacing="0"/>
        <w:jc w:val="both"/>
      </w:pPr>
      <w:r>
        <w:t>праця та професійна діяльність;</w:t>
      </w:r>
    </w:p>
    <w:p w14:paraId="29D55310">
      <w:pPr>
        <w:pStyle w:val="34"/>
        <w:numPr>
          <w:ilvl w:val="0"/>
          <w:numId w:val="16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навчання в школі чи університеті;</w:t>
      </w:r>
    </w:p>
    <w:p w14:paraId="77E05A6F">
      <w:pPr>
        <w:pStyle w:val="34"/>
        <w:numPr>
          <w:ilvl w:val="0"/>
          <w:numId w:val="16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сімейне життя та виховання дітей;</w:t>
      </w:r>
    </w:p>
    <w:p w14:paraId="74FA5B6B">
      <w:pPr>
        <w:pStyle w:val="34"/>
        <w:numPr>
          <w:ilvl w:val="0"/>
          <w:numId w:val="16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участь у культурних, спортивних чи релігійних заходах;</w:t>
      </w:r>
    </w:p>
    <w:p w14:paraId="439204E4">
      <w:pPr>
        <w:pStyle w:val="34"/>
        <w:numPr>
          <w:ilvl w:val="0"/>
          <w:numId w:val="16"/>
        </w:numPr>
        <w:spacing w:before="0" w:beforeAutospacing="0" w:after="0" w:afterAutospacing="0"/>
        <w:jc w:val="both"/>
      </w:pPr>
      <w:r>
        <w:t>громадянська активність (вибори, волонтерство).</w:t>
      </w:r>
    </w:p>
    <w:p w14:paraId="4E1576A7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Segoe UI Symbol" w:hAnsi="Segoe UI Symbol" w:cs="Segoe UI Symbol"/>
          <w:color w:val="auto"/>
          <w:sz w:val="24"/>
          <w:szCs w:val="24"/>
        </w:rPr>
        <w:t>🔹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</w:rPr>
        <w:t>Додаткові елементи ICF</w:t>
      </w:r>
    </w:p>
    <w:p w14:paraId="2875C1F5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Важливим є те, що </w:t>
      </w:r>
      <w:r>
        <w:t>ICF</w:t>
      </w:r>
      <w:r>
        <w:rPr>
          <w:lang w:val="ru-RU"/>
        </w:rPr>
        <w:t xml:space="preserve"> враховує ще два </w:t>
      </w:r>
      <w:r>
        <w:rPr>
          <w:rStyle w:val="36"/>
          <w:b w:val="0"/>
          <w:lang w:val="ru-RU"/>
        </w:rPr>
        <w:t>модулюючі чинники</w:t>
      </w:r>
      <w:r>
        <w:rPr>
          <w:lang w:val="ru-RU"/>
        </w:rPr>
        <w:t>:</w:t>
      </w:r>
    </w:p>
    <w:p w14:paraId="489E8CF3">
      <w:pPr>
        <w:pStyle w:val="34"/>
        <w:numPr>
          <w:ilvl w:val="0"/>
          <w:numId w:val="17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Фактори довкілля</w:t>
      </w:r>
      <w:r>
        <w:rPr>
          <w:lang w:val="ru-RU"/>
        </w:rPr>
        <w:t xml:space="preserve"> (архітектурна доступність, підтримка з боку сім’ї, доступ до медичних і соціальних послуг).</w:t>
      </w:r>
    </w:p>
    <w:p w14:paraId="059221EB">
      <w:pPr>
        <w:pStyle w:val="34"/>
        <w:numPr>
          <w:ilvl w:val="0"/>
          <w:numId w:val="17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Особистісні чинники</w:t>
      </w:r>
      <w:r>
        <w:rPr>
          <w:lang w:val="ru-RU"/>
        </w:rPr>
        <w:t xml:space="preserve"> (вік, освіта, мотивація, життєвий досвід).</w:t>
      </w:r>
    </w:p>
    <w:p w14:paraId="522BED77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Це означає, що однаковий діагноз може мати абсолютно різні наслідки для різних людей.</w:t>
      </w:r>
    </w:p>
    <w:p w14:paraId="7A41D7CD">
      <w:pPr>
        <w:spacing w:after="0" w:line="240" w:lineRule="auto"/>
        <w:jc w:val="both"/>
        <w:rPr>
          <w:rFonts w:cs="Times New Roman"/>
          <w:sz w:val="24"/>
          <w:szCs w:val="24"/>
          <w:lang w:val="ru-RU"/>
        </w:rPr>
      </w:pPr>
    </w:p>
    <w:p w14:paraId="4B00D10D">
      <w:pPr>
        <w:pStyle w:val="3"/>
        <w:spacing w:before="0" w:line="240" w:lineRule="auto"/>
        <w:jc w:val="both"/>
        <w:rPr>
          <w:rFonts w:ascii="Times New Roman" w:hAnsi="Times New Roman" w:cs="Times New Roman"/>
          <w:i/>
          <w:color w:val="auto"/>
          <w:sz w:val="24"/>
          <w:szCs w:val="24"/>
          <w:u w:val="single"/>
          <w:lang w:val="uk-UA"/>
        </w:rPr>
      </w:pPr>
      <w:r>
        <w:rPr>
          <w:rFonts w:ascii="Times New Roman" w:hAnsi="Times New Roman" w:cs="Times New Roman"/>
          <w:i/>
          <w:color w:val="auto"/>
          <w:sz w:val="24"/>
          <w:szCs w:val="24"/>
          <w:u w:val="single"/>
          <w:lang w:val="uk-UA"/>
        </w:rPr>
        <w:t>Таблиця 1</w:t>
      </w:r>
    </w:p>
    <w:tbl>
      <w:tblPr>
        <w:tblStyle w:val="12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43"/>
        <w:gridCol w:w="2793"/>
        <w:gridCol w:w="3454"/>
      </w:tblGrid>
      <w:tr w14:paraId="4D5407C3">
        <w:trPr>
          <w:tblHeader/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7960CA0B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Компонент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133FE89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Що означає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2B88F09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Приклади оцінки</w:t>
            </w:r>
          </w:p>
        </w:tc>
      </w:tr>
      <w:tr w14:paraId="1267F71E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2BBAA639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Функції та структури організму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2879F24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Стан органів, систем, анатомічних частин</w:t>
            </w:r>
          </w:p>
        </w:tc>
        <w:tc>
          <w:tcPr>
            <w:tcW w:w="0" w:type="auto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17F0F80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втрата зору, ампутація, порушення пам’яті</w:t>
            </w:r>
          </w:p>
        </w:tc>
      </w:tr>
      <w:tr w14:paraId="28E2CFFD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97FF3D2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Активність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CB9826C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Здатність виконувати завдання і дії</w:t>
            </w:r>
          </w:p>
        </w:tc>
        <w:tc>
          <w:tcPr>
            <w:tcW w:w="0" w:type="auto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73CD5FD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ходьба, самообслуговування, спілкування</w:t>
            </w:r>
          </w:p>
        </w:tc>
      </w:tr>
      <w:tr w14:paraId="5CE0853E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2051F3C1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Участь у суспільстві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300FA99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Соціальні ролі, інтеграція у громаду</w:t>
            </w:r>
          </w:p>
        </w:tc>
        <w:tc>
          <w:tcPr>
            <w:tcW w:w="0" w:type="auto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579A7DFF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робота, навчання, сім’я, культурне життя</w:t>
            </w:r>
          </w:p>
        </w:tc>
      </w:tr>
    </w:tbl>
    <w:p w14:paraId="246A68CC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 Таким чином, </w:t>
      </w:r>
      <w:r>
        <w:rPr>
          <w:rStyle w:val="36"/>
          <w:b w:val="0"/>
        </w:rPr>
        <w:t>ICF</w:t>
      </w:r>
      <w:r>
        <w:rPr>
          <w:rStyle w:val="36"/>
          <w:b w:val="0"/>
          <w:lang w:val="ru-RU"/>
        </w:rPr>
        <w:t xml:space="preserve"> дає цілісну картину</w:t>
      </w:r>
      <w:r>
        <w:rPr>
          <w:lang w:val="ru-RU"/>
        </w:rPr>
        <w:t xml:space="preserve"> — не лише «що у людини пошкоджено», а й «як це впливає на її життя і які фактори можуть допомогти чи завадити адаптації».</w:t>
      </w:r>
    </w:p>
    <w:p w14:paraId="531C9C6C">
      <w:pPr>
        <w:pStyle w:val="34"/>
        <w:spacing w:before="0" w:beforeAutospacing="0" w:after="0" w:afterAutospacing="0"/>
        <w:jc w:val="both"/>
        <w:rPr>
          <w:lang w:val="ru-RU"/>
        </w:rPr>
      </w:pPr>
    </w:p>
    <w:p w14:paraId="16FA102B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Style w:val="36"/>
          <w:rFonts w:cs="Times New Roman"/>
          <w:b w:val="0"/>
          <w:sz w:val="24"/>
          <w:szCs w:val="24"/>
          <w:lang w:val="ru-RU"/>
        </w:rPr>
        <w:t>Золотим стандартом</w:t>
      </w:r>
      <w:r>
        <w:rPr>
          <w:sz w:val="24"/>
          <w:szCs w:val="24"/>
          <w:lang w:val="ru-RU"/>
        </w:rPr>
        <w:t xml:space="preserve"> у країнах ЄС, США, Канаді вважається </w:t>
      </w:r>
      <w:r>
        <w:rPr>
          <w:rStyle w:val="36"/>
          <w:rFonts w:cs="Times New Roman"/>
          <w:b w:val="0"/>
          <w:sz w:val="24"/>
          <w:szCs w:val="24"/>
          <w:lang w:val="ru-RU"/>
        </w:rPr>
        <w:t>мультидисциплінарний підхід</w:t>
      </w:r>
      <w:r>
        <w:rPr>
          <w:sz w:val="24"/>
          <w:szCs w:val="24"/>
          <w:lang w:val="ru-RU"/>
        </w:rPr>
        <w:t>, що забезпечує комплексність втручань, адаптацію до складних клінічних випадків (множинні травми, ампутації, опіки, ЧМТ тощо), врахування психосоціального статусу.</w:t>
      </w:r>
    </w:p>
    <w:p w14:paraId="124AFD58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1E5C387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3. Сутність мультидисциплінарного підходу</w:t>
      </w:r>
    </w:p>
    <w:p w14:paraId="0F20CF65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</w:p>
    <w:p w14:paraId="468AF27A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Мультидисциплінарний підхід — це </w:t>
      </w:r>
      <w:r>
        <w:rPr>
          <w:rStyle w:val="36"/>
          <w:b w:val="0"/>
          <w:lang w:val="ru-RU"/>
        </w:rPr>
        <w:t>командна модель надання реабілітаційної допомоги</w:t>
      </w:r>
      <w:r>
        <w:rPr>
          <w:lang w:val="ru-RU"/>
        </w:rPr>
        <w:t>, за якої фахівці різних галузей спільно розробляють, реалізують та оцінюють індивідуальний план реабілітації пацієнта.</w:t>
      </w:r>
    </w:p>
    <w:p w14:paraId="5B850364">
      <w:pPr>
        <w:pStyle w:val="5"/>
        <w:spacing w:before="0" w:line="240" w:lineRule="auto"/>
        <w:ind w:firstLine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Основні принципи:</w:t>
      </w:r>
    </w:p>
    <w:p w14:paraId="18E001B3">
      <w:pPr>
        <w:pStyle w:val="34"/>
        <w:numPr>
          <w:ilvl w:val="0"/>
          <w:numId w:val="18"/>
        </w:numPr>
        <w:spacing w:before="0" w:beforeAutospacing="0" w:after="0" w:afterAutospacing="0"/>
        <w:jc w:val="both"/>
      </w:pPr>
      <w:r>
        <w:t>пацієнт у центрі уваги;</w:t>
      </w:r>
    </w:p>
    <w:p w14:paraId="64ADF8DB">
      <w:pPr>
        <w:pStyle w:val="34"/>
        <w:numPr>
          <w:ilvl w:val="0"/>
          <w:numId w:val="1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командна взаємодія із чітким розподілом ролей;</w:t>
      </w:r>
    </w:p>
    <w:p w14:paraId="0130D8AE">
      <w:pPr>
        <w:pStyle w:val="34"/>
        <w:numPr>
          <w:ilvl w:val="0"/>
          <w:numId w:val="1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безперервність реабілітації на всіх етапах;</w:t>
      </w:r>
    </w:p>
    <w:p w14:paraId="49F54CFF">
      <w:pPr>
        <w:pStyle w:val="34"/>
        <w:numPr>
          <w:ilvl w:val="0"/>
          <w:numId w:val="1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регулярна оцінка динаміки функціонального стану;</w:t>
      </w:r>
    </w:p>
    <w:p w14:paraId="6297BEE8">
      <w:pPr>
        <w:pStyle w:val="34"/>
        <w:numPr>
          <w:ilvl w:val="0"/>
          <w:numId w:val="1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етичність, повага до автономії пацієнта.</w:t>
      </w:r>
    </w:p>
    <w:p w14:paraId="7283C1A4">
      <w:pPr>
        <w:pStyle w:val="5"/>
        <w:spacing w:before="0" w:line="240" w:lineRule="auto"/>
        <w:ind w:firstLine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Відмінність від міждисциплінарного підходу:</w:t>
      </w:r>
    </w:p>
    <w:p w14:paraId="43A897FB">
      <w:pPr>
        <w:pStyle w:val="34"/>
        <w:numPr>
          <w:ilvl w:val="0"/>
          <w:numId w:val="19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при мультидисциплінарному — кожен спеціаліст діє автономно, узгоджуючи дії через координатора;</w:t>
      </w:r>
    </w:p>
    <w:p w14:paraId="35DB4523">
      <w:pPr>
        <w:spacing w:after="0" w:line="240" w:lineRule="auto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при міждисциплінарному — дії фахівців інтегровані, рішень приймається колективно.</w:t>
      </w:r>
    </w:p>
    <w:p w14:paraId="37F81819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4. Склад та функції мультидисциплінарної реабілітаційної команди</w:t>
      </w:r>
    </w:p>
    <w:p w14:paraId="584246FD">
      <w:pPr>
        <w:spacing w:after="0" w:line="240" w:lineRule="auto"/>
        <w:ind w:firstLine="720"/>
        <w:jc w:val="both"/>
        <w:rPr>
          <w:sz w:val="24"/>
          <w:szCs w:val="24"/>
          <w:lang w:val="ru-RU"/>
        </w:rPr>
      </w:pPr>
    </w:p>
    <w:p w14:paraId="2F84547B">
      <w:pPr>
        <w:spacing w:after="0" w:line="240" w:lineRule="auto"/>
        <w:ind w:firstLine="720"/>
        <w:jc w:val="both"/>
        <w:rPr>
          <w:i/>
          <w:sz w:val="24"/>
          <w:szCs w:val="24"/>
          <w:u w:val="single"/>
          <w:lang w:val="ru-RU"/>
        </w:rPr>
      </w:pPr>
      <w:r>
        <w:rPr>
          <w:sz w:val="24"/>
          <w:szCs w:val="24"/>
          <w:lang w:val="ru-RU"/>
        </w:rPr>
        <w:t>Мультидисциплінарна реабілітаційна команда є ключовим елементом у системі відновлення пацієнтів після травм та реконструктивних оперативних втручань. Вона забезпечує комплексний підхід, що враховує не лише хірургічні аспекти, а й функціональні, психологічні, соціальні та побутові потреби пораненого.</w:t>
      </w:r>
      <w:r>
        <w:rPr>
          <w:sz w:val="24"/>
          <w:szCs w:val="24"/>
          <w:lang w:val="ru-RU"/>
        </w:rPr>
        <w:br w:type="textWrapping"/>
      </w:r>
    </w:p>
    <w:p w14:paraId="0BA70E59">
      <w:pPr>
        <w:spacing w:after="0" w:line="240" w:lineRule="auto"/>
        <w:ind w:firstLine="720"/>
        <w:jc w:val="both"/>
        <w:rPr>
          <w:b/>
          <w:i/>
          <w:sz w:val="24"/>
          <w:szCs w:val="24"/>
          <w:u w:val="single"/>
          <w:lang w:val="ru-RU"/>
        </w:rPr>
      </w:pPr>
    </w:p>
    <w:p w14:paraId="094CEAFF">
      <w:pPr>
        <w:spacing w:after="0" w:line="240" w:lineRule="auto"/>
        <w:ind w:firstLine="720"/>
        <w:jc w:val="both"/>
        <w:rPr>
          <w:b/>
          <w:i/>
          <w:sz w:val="24"/>
          <w:szCs w:val="24"/>
          <w:u w:val="single"/>
          <w:lang w:val="ru-RU"/>
        </w:rPr>
      </w:pPr>
    </w:p>
    <w:p w14:paraId="43C13C64">
      <w:pPr>
        <w:spacing w:after="0" w:line="240" w:lineRule="auto"/>
        <w:ind w:firstLine="720"/>
        <w:jc w:val="both"/>
        <w:rPr>
          <w:b/>
          <w:sz w:val="24"/>
          <w:szCs w:val="24"/>
          <w:lang w:val="ru-RU"/>
        </w:rPr>
      </w:pPr>
      <w:r>
        <w:rPr>
          <w:b/>
          <w:i/>
          <w:sz w:val="24"/>
          <w:szCs w:val="24"/>
          <w:u w:val="single"/>
          <w:lang w:val="ru-RU"/>
        </w:rPr>
        <w:t>Таблиця 2</w:t>
      </w:r>
    </w:p>
    <w:tbl>
      <w:tblPr>
        <w:tblStyle w:val="12"/>
        <w:tblW w:w="0" w:type="auto"/>
        <w:tblCellSpacing w:w="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87"/>
        <w:gridCol w:w="5703"/>
      </w:tblGrid>
      <w:tr w14:paraId="6B0258A6">
        <w:trPr>
          <w:tblHeader/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6736A2D7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Спеціаліст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611FC21">
            <w:pPr>
              <w:spacing w:after="0" w:line="240" w:lineRule="auto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Основні функції</w:t>
            </w:r>
          </w:p>
        </w:tc>
      </w:tr>
      <w:tr w14:paraId="39DCE4D8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540FD044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Реконструктивний хірург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DB59332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Медична оцінка, планування втручань, контроль післяопераційного процесу</w:t>
            </w:r>
          </w:p>
        </w:tc>
      </w:tr>
      <w:tr w14:paraId="6812F504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6A43F9B9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Фізичний терапевт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CD02472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Відновлення рухливості, м’язової сили, рівноваги</w:t>
            </w:r>
          </w:p>
        </w:tc>
      </w:tr>
      <w:tr w14:paraId="01068D59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3A4E7EDC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Ерготерапевт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06580AE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Самообслуговування, пристосування середовища, підбір допоміжних засобів</w:t>
            </w:r>
          </w:p>
        </w:tc>
      </w:tr>
      <w:tr w14:paraId="483E6B91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736945CD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Психолог / психотерапевт / психіатр</w:t>
            </w:r>
          </w:p>
        </w:tc>
        <w:tc>
          <w:tcPr>
            <w:tcW w:w="0" w:type="auto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8A7CBB3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Робота з ПТСР, тривогою, депресією, реадаптація</w:t>
            </w:r>
          </w:p>
        </w:tc>
      </w:tr>
      <w:tr w14:paraId="46738620">
        <w:trPr>
          <w:tblCellSpacing w:w="15" w:type="dxa"/>
        </w:trPr>
        <w:tc>
          <w:tcPr>
            <w:tcW w:w="0" w:type="auto"/>
            <w:tcBorders>
              <w:left w:val="single" w:color="auto" w:sz="12" w:space="0"/>
            </w:tcBorders>
            <w:vAlign w:val="center"/>
          </w:tcPr>
          <w:p w14:paraId="1DB175D7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Протезист-ортезист</w:t>
            </w:r>
          </w:p>
        </w:tc>
        <w:tc>
          <w:tcPr>
            <w:tcW w:w="0" w:type="auto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3C027C9E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Розрахунок, виготовлення, налаштування протезів та ортезів</w:t>
            </w:r>
          </w:p>
        </w:tc>
      </w:tr>
      <w:tr w14:paraId="7792F04E">
        <w:trPr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8ED5376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Соціальний працівник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23A7CDE8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Правова допомога, доступ до ресурсів, адаптація до соціального життя</w:t>
            </w:r>
          </w:p>
        </w:tc>
      </w:tr>
      <w:tr w14:paraId="6C3F9E2C">
        <w:trPr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B19D4EC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Медична сестра з реабілітації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090A53DB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Медичний догляд, виконання призначень, навчання пацієнта</w:t>
            </w:r>
          </w:p>
        </w:tc>
      </w:tr>
      <w:tr w14:paraId="071A8A23">
        <w:trPr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5FA3DEDD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Логопед / нейропсихолог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2CA9BF3E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У разі ЧМТ або лицевих травм – відновлення комунікативних функцій</w:t>
            </w:r>
          </w:p>
        </w:tc>
      </w:tr>
      <w:tr w14:paraId="1B211FEC">
        <w:trPr>
          <w:tblCellSpacing w:w="15" w:type="dxa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 w14:paraId="203227AD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Style w:val="36"/>
                <w:rFonts w:cs="Times New Roman"/>
                <w:sz w:val="24"/>
                <w:szCs w:val="24"/>
              </w:rPr>
              <w:t>Координатор</w:t>
            </w:r>
          </w:p>
        </w:tc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F28CBD9">
            <w:pPr>
              <w:spacing w:after="0" w:line="240" w:lineRule="auto"/>
              <w:jc w:val="both"/>
              <w:rPr>
                <w:rFonts w:cs="Times New Roman"/>
                <w:sz w:val="24"/>
                <w:szCs w:val="24"/>
                <w:lang w:val="ru-RU"/>
              </w:rPr>
            </w:pPr>
            <w:r>
              <w:rPr>
                <w:rFonts w:cs="Times New Roman"/>
                <w:sz w:val="24"/>
                <w:szCs w:val="24"/>
                <w:lang w:val="ru-RU"/>
              </w:rPr>
              <w:t>Узгодження всіх дій команди, комунікація з пацієнтом і родиною</w:t>
            </w:r>
          </w:p>
        </w:tc>
      </w:tr>
    </w:tbl>
    <w:p w14:paraId="7F6517D1">
      <w:pPr>
        <w:spacing w:after="0" w:line="240" w:lineRule="auto"/>
        <w:ind w:firstLine="720"/>
        <w:rPr>
          <w:sz w:val="24"/>
          <w:szCs w:val="24"/>
          <w:lang w:val="ru-RU"/>
        </w:rPr>
      </w:pPr>
    </w:p>
    <w:p w14:paraId="06D24CC7">
      <w:pPr>
        <w:spacing w:after="0" w:line="240" w:lineRule="auto"/>
        <w:ind w:firstLine="720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Таким чином, мультидисциплінарна команда виступає не лише медичною структурою, а й соціально-інтеграційним механізмом, який формує майбутнє пацієнта після травми.</w:t>
      </w:r>
    </w:p>
    <w:p w14:paraId="60D25D46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01513DA5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5. Етапи реабілітаційного процесу.</w:t>
      </w:r>
    </w:p>
    <w:p w14:paraId="557B6368">
      <w:pPr>
        <w:spacing w:after="0" w:line="240" w:lineRule="auto"/>
        <w:rPr>
          <w:sz w:val="24"/>
          <w:szCs w:val="24"/>
          <w:lang w:val="ru-RU"/>
        </w:rPr>
      </w:pPr>
    </w:p>
    <w:p w14:paraId="24B6960B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Етап </w:t>
      </w:r>
      <w:r>
        <w:rPr>
          <w:rFonts w:ascii="Times New Roman" w:hAnsi="Times New Roman" w:cs="Times New Roman"/>
          <w:color w:val="auto"/>
          <w:sz w:val="24"/>
          <w:szCs w:val="24"/>
        </w:rPr>
        <w:t>I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– Гострий (0–14 діб після втручання):</w:t>
      </w:r>
    </w:p>
    <w:p w14:paraId="0BA6F932">
      <w:pPr>
        <w:pStyle w:val="34"/>
        <w:numPr>
          <w:ilvl w:val="0"/>
          <w:numId w:val="20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профілактика ускладнень (тромбоз, атрофія, пролежні);</w:t>
      </w:r>
    </w:p>
    <w:p w14:paraId="1FB29FF0">
      <w:pPr>
        <w:pStyle w:val="34"/>
        <w:numPr>
          <w:ilvl w:val="0"/>
          <w:numId w:val="20"/>
        </w:numPr>
        <w:spacing w:before="0" w:beforeAutospacing="0" w:after="0" w:afterAutospacing="0"/>
        <w:jc w:val="both"/>
      </w:pPr>
      <w:r>
        <w:t>фізіологічна мобілізація;</w:t>
      </w:r>
    </w:p>
    <w:p w14:paraId="22AE6ED4">
      <w:pPr>
        <w:pStyle w:val="34"/>
        <w:numPr>
          <w:ilvl w:val="0"/>
          <w:numId w:val="20"/>
        </w:numPr>
        <w:spacing w:before="0" w:beforeAutospacing="0" w:after="0" w:afterAutospacing="0"/>
        <w:jc w:val="both"/>
      </w:pPr>
      <w:r>
        <w:t>перша оцінка функціонального статусу;</w:t>
      </w:r>
    </w:p>
    <w:p w14:paraId="18DE726E">
      <w:pPr>
        <w:pStyle w:val="34"/>
        <w:numPr>
          <w:ilvl w:val="0"/>
          <w:numId w:val="20"/>
        </w:numPr>
        <w:spacing w:before="0" w:beforeAutospacing="0" w:after="0" w:afterAutospacing="0"/>
        <w:jc w:val="both"/>
      </w:pPr>
      <w:r>
        <w:t>психологічна стабілізація.</w:t>
      </w:r>
    </w:p>
    <w:p w14:paraId="4085EC73">
      <w:pPr>
        <w:pStyle w:val="34"/>
        <w:spacing w:before="0" w:beforeAutospacing="0" w:after="0" w:afterAutospacing="0"/>
        <w:ind w:left="720"/>
        <w:jc w:val="both"/>
      </w:pPr>
    </w:p>
    <w:p w14:paraId="28D892A8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Етап </w:t>
      </w:r>
      <w:r>
        <w:rPr>
          <w:rFonts w:ascii="Times New Roman" w:hAnsi="Times New Roman" w:cs="Times New Roman"/>
          <w:color w:val="auto"/>
          <w:sz w:val="24"/>
          <w:szCs w:val="24"/>
        </w:rPr>
        <w:t>II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– Ранній відновлювальний (2–12 тижнів):</w:t>
      </w:r>
    </w:p>
    <w:p w14:paraId="177F0B11">
      <w:pPr>
        <w:pStyle w:val="34"/>
        <w:numPr>
          <w:ilvl w:val="0"/>
          <w:numId w:val="21"/>
        </w:numPr>
        <w:spacing w:before="0" w:beforeAutospacing="0" w:after="0" w:afterAutospacing="0"/>
        <w:jc w:val="both"/>
      </w:pPr>
      <w:r>
        <w:t>інтенсивна фізична терапія;</w:t>
      </w:r>
    </w:p>
    <w:p w14:paraId="7FD846B4">
      <w:pPr>
        <w:pStyle w:val="34"/>
        <w:numPr>
          <w:ilvl w:val="0"/>
          <w:numId w:val="21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адаптація до протезу (у разі ампутації);</w:t>
      </w:r>
    </w:p>
    <w:p w14:paraId="271D6070">
      <w:pPr>
        <w:pStyle w:val="34"/>
        <w:numPr>
          <w:ilvl w:val="0"/>
          <w:numId w:val="21"/>
        </w:numPr>
        <w:spacing w:before="0" w:beforeAutospacing="0" w:after="0" w:afterAutospacing="0"/>
        <w:jc w:val="both"/>
      </w:pPr>
      <w:r>
        <w:t>тренування побутових навичок;</w:t>
      </w:r>
    </w:p>
    <w:p w14:paraId="2D098048">
      <w:pPr>
        <w:pStyle w:val="34"/>
        <w:numPr>
          <w:ilvl w:val="0"/>
          <w:numId w:val="21"/>
        </w:numPr>
        <w:spacing w:before="0" w:beforeAutospacing="0" w:after="0" w:afterAutospacing="0"/>
        <w:jc w:val="both"/>
      </w:pPr>
      <w:r>
        <w:t>включення родини у процес;</w:t>
      </w:r>
    </w:p>
    <w:p w14:paraId="608B0A98">
      <w:pPr>
        <w:pStyle w:val="34"/>
        <w:numPr>
          <w:ilvl w:val="0"/>
          <w:numId w:val="21"/>
        </w:numPr>
        <w:spacing w:before="0" w:beforeAutospacing="0" w:after="0" w:afterAutospacing="0"/>
        <w:jc w:val="both"/>
      </w:pPr>
      <w:r>
        <w:t>перша соціальна активність.</w:t>
      </w:r>
    </w:p>
    <w:p w14:paraId="63CE96E4">
      <w:pPr>
        <w:pStyle w:val="34"/>
        <w:spacing w:before="0" w:beforeAutospacing="0" w:after="0" w:afterAutospacing="0"/>
        <w:ind w:left="720"/>
        <w:jc w:val="both"/>
      </w:pPr>
    </w:p>
    <w:p w14:paraId="51224B26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Етап </w:t>
      </w:r>
      <w:r>
        <w:rPr>
          <w:rFonts w:ascii="Times New Roman" w:hAnsi="Times New Roman" w:cs="Times New Roman"/>
          <w:color w:val="auto"/>
          <w:sz w:val="24"/>
          <w:szCs w:val="24"/>
        </w:rPr>
        <w:t>III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– Пізній відновлювальний (3–6 міс):</w:t>
      </w:r>
    </w:p>
    <w:p w14:paraId="2BA9DA28">
      <w:pPr>
        <w:pStyle w:val="34"/>
        <w:numPr>
          <w:ilvl w:val="0"/>
          <w:numId w:val="22"/>
        </w:numPr>
        <w:spacing w:before="0" w:beforeAutospacing="0" w:after="0" w:afterAutospacing="0"/>
        <w:jc w:val="both"/>
      </w:pPr>
      <w:r>
        <w:t>реінтеграція в соціум;</w:t>
      </w:r>
    </w:p>
    <w:p w14:paraId="2E22F2D8">
      <w:pPr>
        <w:pStyle w:val="34"/>
        <w:numPr>
          <w:ilvl w:val="0"/>
          <w:numId w:val="22"/>
        </w:numPr>
        <w:spacing w:before="0" w:beforeAutospacing="0" w:after="0" w:afterAutospacing="0"/>
        <w:jc w:val="both"/>
      </w:pPr>
      <w:r>
        <w:t>тренінги на працездатність;</w:t>
      </w:r>
    </w:p>
    <w:p w14:paraId="0DCB18CC">
      <w:pPr>
        <w:pStyle w:val="34"/>
        <w:numPr>
          <w:ilvl w:val="0"/>
          <w:numId w:val="22"/>
        </w:numPr>
        <w:spacing w:before="0" w:beforeAutospacing="0" w:after="0" w:afterAutospacing="0"/>
        <w:jc w:val="both"/>
      </w:pPr>
      <w:r>
        <w:t>психологічна корекція ПТСР;</w:t>
      </w:r>
    </w:p>
    <w:p w14:paraId="4382F2CC">
      <w:pPr>
        <w:pStyle w:val="34"/>
        <w:numPr>
          <w:ilvl w:val="0"/>
          <w:numId w:val="2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повернення до навчання чи служби (за показами).</w:t>
      </w:r>
    </w:p>
    <w:p w14:paraId="4F1A7FCC">
      <w:pPr>
        <w:pStyle w:val="34"/>
        <w:spacing w:before="0" w:beforeAutospacing="0" w:after="0" w:afterAutospacing="0"/>
        <w:ind w:left="720"/>
        <w:jc w:val="both"/>
        <w:rPr>
          <w:lang w:val="ru-RU"/>
        </w:rPr>
      </w:pPr>
    </w:p>
    <w:p w14:paraId="11A947CA">
      <w:pPr>
        <w:pStyle w:val="5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Етап IV – Довготривалий супровід:</w:t>
      </w:r>
    </w:p>
    <w:p w14:paraId="2633D565">
      <w:pPr>
        <w:pStyle w:val="34"/>
        <w:numPr>
          <w:ilvl w:val="0"/>
          <w:numId w:val="23"/>
        </w:numPr>
        <w:spacing w:before="0" w:beforeAutospacing="0" w:after="0" w:afterAutospacing="0"/>
        <w:jc w:val="both"/>
      </w:pPr>
      <w:r>
        <w:t>динамічне спостереження;</w:t>
      </w:r>
    </w:p>
    <w:p w14:paraId="2D8E4255">
      <w:pPr>
        <w:pStyle w:val="34"/>
        <w:numPr>
          <w:ilvl w:val="0"/>
          <w:numId w:val="23"/>
        </w:numPr>
        <w:spacing w:before="0" w:beforeAutospacing="0" w:after="0" w:afterAutospacing="0"/>
        <w:jc w:val="both"/>
      </w:pPr>
      <w:r>
        <w:t>повторні курси реабілітації;</w:t>
      </w:r>
    </w:p>
    <w:p w14:paraId="45938B06">
      <w:pPr>
        <w:pStyle w:val="34"/>
        <w:numPr>
          <w:ilvl w:val="0"/>
          <w:numId w:val="23"/>
        </w:numPr>
        <w:spacing w:before="0" w:beforeAutospacing="0" w:after="0" w:afterAutospacing="0"/>
        <w:jc w:val="both"/>
      </w:pPr>
      <w:r>
        <w:t>профілактика рецидивів;</w:t>
      </w:r>
    </w:p>
    <w:p w14:paraId="48493E58">
      <w:pPr>
        <w:pStyle w:val="34"/>
        <w:numPr>
          <w:ilvl w:val="0"/>
          <w:numId w:val="23"/>
        </w:numPr>
        <w:spacing w:before="0" w:beforeAutospacing="0" w:after="0" w:afterAutospacing="0"/>
        <w:jc w:val="both"/>
      </w:pPr>
      <w:r>
        <w:t>телереабілітація, самоконтроль, самозарадність.</w:t>
      </w:r>
    </w:p>
    <w:p w14:paraId="3CE995A7">
      <w:pPr>
        <w:spacing w:after="0" w:line="240" w:lineRule="auto"/>
        <w:rPr>
          <w:sz w:val="24"/>
          <w:szCs w:val="24"/>
        </w:rPr>
      </w:pPr>
    </w:p>
    <w:p w14:paraId="4A89E1D7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6. Нормативно-правове забезпечення</w:t>
      </w:r>
    </w:p>
    <w:p w14:paraId="26A9C1D5">
      <w:pPr>
        <w:pStyle w:val="34"/>
        <w:spacing w:before="0" w:beforeAutospacing="0" w:after="0" w:afterAutospacing="0"/>
        <w:ind w:firstLine="360"/>
        <w:jc w:val="both"/>
        <w:rPr>
          <w:lang w:val="ru-RU"/>
        </w:rPr>
      </w:pPr>
      <w:r>
        <w:rPr>
          <w:lang w:val="ru-RU"/>
        </w:rPr>
        <w:t>Реабілітація військовослужбовців та ветеранів в Україні регламентується:</w:t>
      </w:r>
    </w:p>
    <w:p w14:paraId="597DE237">
      <w:pPr>
        <w:pStyle w:val="34"/>
        <w:numPr>
          <w:ilvl w:val="0"/>
          <w:numId w:val="2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Наказом МОЗ №1830 від 3.08.2020 р. — «Про організацію реабілітаційної допомоги».</w:t>
      </w:r>
    </w:p>
    <w:p w14:paraId="4D5C5004">
      <w:pPr>
        <w:pStyle w:val="34"/>
        <w:numPr>
          <w:ilvl w:val="0"/>
          <w:numId w:val="2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Постановою КМУ №641 — про стандарти реабілітації учасників бойових дій.</w:t>
      </w:r>
    </w:p>
    <w:p w14:paraId="697682D7">
      <w:pPr>
        <w:pStyle w:val="34"/>
        <w:numPr>
          <w:ilvl w:val="0"/>
          <w:numId w:val="2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Пакетами реабілітаційних послуг НСЗУ (№ 14, 15, 16) — оплачуються за держбюджет.</w:t>
      </w:r>
    </w:p>
    <w:p w14:paraId="028666B3">
      <w:pPr>
        <w:pStyle w:val="34"/>
        <w:spacing w:before="0" w:beforeAutospacing="0" w:after="0" w:afterAutospacing="0"/>
        <w:ind w:firstLine="360"/>
        <w:jc w:val="both"/>
        <w:rPr>
          <w:lang w:val="ru-RU"/>
        </w:rPr>
      </w:pPr>
      <w:r>
        <w:rPr>
          <w:lang w:val="ru-RU"/>
        </w:rPr>
        <w:t>Також існує 3-рівнева модель центрів реабілітації:</w:t>
      </w:r>
    </w:p>
    <w:p w14:paraId="791E866A">
      <w:pPr>
        <w:pStyle w:val="34"/>
        <w:numPr>
          <w:ilvl w:val="0"/>
          <w:numId w:val="25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Високоспеціалізовані (на базі госпіталів МОУ та МОЗ).</w:t>
      </w:r>
    </w:p>
    <w:p w14:paraId="231782DA">
      <w:pPr>
        <w:pStyle w:val="34"/>
        <w:numPr>
          <w:ilvl w:val="0"/>
          <w:numId w:val="25"/>
        </w:numPr>
        <w:spacing w:before="0" w:beforeAutospacing="0" w:after="0" w:afterAutospacing="0"/>
        <w:jc w:val="both"/>
      </w:pPr>
      <w:r>
        <w:t>Регіональні.</w:t>
      </w:r>
    </w:p>
    <w:p w14:paraId="5803B6CB">
      <w:pPr>
        <w:pStyle w:val="34"/>
        <w:numPr>
          <w:ilvl w:val="0"/>
          <w:numId w:val="25"/>
        </w:numPr>
        <w:spacing w:before="0" w:beforeAutospacing="0" w:after="0" w:afterAutospacing="0"/>
        <w:jc w:val="both"/>
      </w:pPr>
      <w:r>
        <w:t>Місцеві амбулаторні.</w:t>
      </w:r>
    </w:p>
    <w:p w14:paraId="21885C2B">
      <w:pPr>
        <w:pStyle w:val="34"/>
        <w:spacing w:before="0" w:beforeAutospacing="0" w:after="0" w:afterAutospacing="0"/>
        <w:ind w:firstLine="360"/>
        <w:jc w:val="both"/>
      </w:pPr>
      <w:r>
        <w:t>Практичні формати:</w:t>
      </w:r>
    </w:p>
    <w:p w14:paraId="0744AFF9">
      <w:pPr>
        <w:pStyle w:val="34"/>
        <w:numPr>
          <w:ilvl w:val="0"/>
          <w:numId w:val="26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Центри медичної реабілітації МОУ та МОЗ (3-рівнева система )</w:t>
      </w:r>
    </w:p>
    <w:p w14:paraId="711F8878">
      <w:pPr>
        <w:pStyle w:val="34"/>
        <w:numPr>
          <w:ilvl w:val="0"/>
          <w:numId w:val="26"/>
        </w:numPr>
        <w:spacing w:before="0" w:beforeAutospacing="0" w:after="0" w:afterAutospacing="0"/>
        <w:jc w:val="both"/>
      </w:pPr>
      <w:r>
        <w:t>Спеціалізовані військові госпіталі</w:t>
      </w:r>
    </w:p>
    <w:p w14:paraId="61C35974">
      <w:pPr>
        <w:pStyle w:val="34"/>
        <w:numPr>
          <w:ilvl w:val="0"/>
          <w:numId w:val="26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Приватно-державне партнерство (</w:t>
      </w:r>
      <w:r>
        <w:t>UNBROKEN</w:t>
      </w:r>
      <w:r>
        <w:rPr>
          <w:lang w:val="ru-RU"/>
        </w:rPr>
        <w:t>, “Повернись живим”, “Будь сильним”)</w:t>
      </w:r>
    </w:p>
    <w:p w14:paraId="62168028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</w:p>
    <w:p w14:paraId="582D4F01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7. Особливості південного регіону України</w:t>
      </w:r>
    </w:p>
    <w:p w14:paraId="5D3CBC7E">
      <w:pPr>
        <w:pStyle w:val="34"/>
        <w:spacing w:before="0" w:beforeAutospacing="0" w:after="0" w:afterAutospacing="0"/>
        <w:ind w:firstLine="360"/>
        <w:jc w:val="both"/>
        <w:rPr>
          <w:lang w:val="ru-RU"/>
        </w:rPr>
      </w:pPr>
      <w:r>
        <w:rPr>
          <w:lang w:val="ru-RU"/>
        </w:rPr>
        <w:t xml:space="preserve"> Потужні бази:</w:t>
      </w:r>
    </w:p>
    <w:p w14:paraId="7E181386">
      <w:pPr>
        <w:pStyle w:val="34"/>
        <w:numPr>
          <w:ilvl w:val="0"/>
          <w:numId w:val="27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ВМКЦ ПР (Одеса)</w:t>
      </w:r>
      <w:r>
        <w:rPr>
          <w:lang w:val="ru-RU"/>
        </w:rPr>
        <w:t xml:space="preserve"> – центр компетенції із реконструктивної хірургії та реабілітації.</w:t>
      </w:r>
    </w:p>
    <w:p w14:paraId="7CB1EF24">
      <w:pPr>
        <w:pStyle w:val="34"/>
        <w:numPr>
          <w:ilvl w:val="0"/>
          <w:numId w:val="27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Центри в Миколаєві, Херсоні</w:t>
      </w:r>
      <w:r>
        <w:rPr>
          <w:lang w:val="ru-RU"/>
        </w:rPr>
        <w:t xml:space="preserve"> – амбулаторні програми для ветеранів.</w:t>
      </w:r>
    </w:p>
    <w:p w14:paraId="513034D5">
      <w:pPr>
        <w:pStyle w:val="34"/>
        <w:spacing w:before="0" w:beforeAutospacing="0" w:after="0" w:afterAutospacing="0"/>
        <w:ind w:left="720"/>
        <w:jc w:val="both"/>
        <w:rPr>
          <w:lang w:val="ru-RU"/>
        </w:rPr>
      </w:pPr>
    </w:p>
    <w:p w14:paraId="4167B9DA">
      <w:pPr>
        <w:pStyle w:val="34"/>
        <w:spacing w:before="0" w:beforeAutospacing="0" w:after="0" w:afterAutospacing="0"/>
        <w:jc w:val="both"/>
      </w:pPr>
      <w:r>
        <w:t>Виклики:</w:t>
      </w:r>
    </w:p>
    <w:p w14:paraId="4351BE4E">
      <w:pPr>
        <w:pStyle w:val="34"/>
        <w:numPr>
          <w:ilvl w:val="0"/>
          <w:numId w:val="2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Високе навантаження через близькість до фронту;</w:t>
      </w:r>
    </w:p>
    <w:p w14:paraId="31FE9592">
      <w:pPr>
        <w:pStyle w:val="34"/>
        <w:numPr>
          <w:ilvl w:val="0"/>
          <w:numId w:val="2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Нестача фахівців із ерготерапії та ПТСР;</w:t>
      </w:r>
    </w:p>
    <w:p w14:paraId="0EBCD6B6">
      <w:pPr>
        <w:pStyle w:val="34"/>
        <w:numPr>
          <w:ilvl w:val="0"/>
          <w:numId w:val="28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Логістичні обмеження через воєнний стан.</w:t>
      </w:r>
    </w:p>
    <w:p w14:paraId="7D85C155">
      <w:pPr>
        <w:pStyle w:val="34"/>
        <w:spacing w:before="0" w:beforeAutospacing="0" w:after="0" w:afterAutospacing="0"/>
        <w:jc w:val="both"/>
      </w:pPr>
      <w:r>
        <w:rPr>
          <w:lang w:val="ru-RU"/>
        </w:rPr>
        <w:t xml:space="preserve"> </w:t>
      </w:r>
      <w:r>
        <w:t>Можливості:</w:t>
      </w:r>
    </w:p>
    <w:p w14:paraId="0F56C315">
      <w:pPr>
        <w:pStyle w:val="34"/>
        <w:numPr>
          <w:ilvl w:val="0"/>
          <w:numId w:val="29"/>
        </w:numPr>
        <w:spacing w:before="0" w:beforeAutospacing="0" w:after="0" w:afterAutospacing="0"/>
        <w:jc w:val="both"/>
      </w:pPr>
      <w:r>
        <w:t>Підтримка міжнародних партнерів (NATO Trust Fund, ICRC);</w:t>
      </w:r>
    </w:p>
    <w:p w14:paraId="0E86B102">
      <w:pPr>
        <w:pStyle w:val="34"/>
        <w:numPr>
          <w:ilvl w:val="0"/>
          <w:numId w:val="29"/>
        </w:numPr>
        <w:spacing w:before="0" w:beforeAutospacing="0" w:after="0" w:afterAutospacing="0"/>
        <w:jc w:val="both"/>
      </w:pPr>
      <w:r>
        <w:t>Інтеграція мобільних мультидисциплінарних бригад;</w:t>
      </w:r>
    </w:p>
    <w:p w14:paraId="60414BED">
      <w:pPr>
        <w:pStyle w:val="34"/>
        <w:numPr>
          <w:ilvl w:val="0"/>
          <w:numId w:val="29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Пілотні </w:t>
      </w:r>
      <w:r>
        <w:t>VR</w:t>
      </w:r>
      <w:r>
        <w:rPr>
          <w:lang w:val="ru-RU"/>
        </w:rPr>
        <w:t>-програми на базі центрів у Одесі та Миколаєві.</w:t>
      </w:r>
    </w:p>
    <w:p w14:paraId="440AB7C3">
      <w:pPr>
        <w:spacing w:after="0" w:line="240" w:lineRule="auto"/>
        <w:rPr>
          <w:sz w:val="24"/>
          <w:szCs w:val="24"/>
          <w:lang w:val="ru-RU"/>
        </w:rPr>
      </w:pPr>
    </w:p>
    <w:p w14:paraId="35E0E9A0">
      <w:pPr>
        <w:pStyle w:val="4"/>
        <w:spacing w:before="0" w:line="240" w:lineRule="auto"/>
        <w:ind w:firstLine="36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8. Інноваційні технології значно розширюють можливості відновлення пацієнтів після складних реконструктивних втручань. Вони не лише підвищують мотивацію та ефективність терапії, але й дозволяють зробити реабілітаційний процес персоналізованим і контрольованим у режимі реального часу.</w:t>
      </w:r>
    </w:p>
    <w:p w14:paraId="106F68C8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VR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/</w:t>
      </w:r>
      <w:r>
        <w:rPr>
          <w:rFonts w:ascii="Times New Roman" w:hAnsi="Times New Roman" w:cs="Times New Roman"/>
          <w:color w:val="auto"/>
          <w:sz w:val="24"/>
          <w:szCs w:val="24"/>
        </w:rPr>
        <w:t>AR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-технології (віртуальна та доповнена реальність)</w:t>
      </w:r>
    </w:p>
    <w:p w14:paraId="1D138957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Інструменти віртуальної реальності, як-от </w:t>
      </w:r>
      <w:r>
        <w:rPr>
          <w:rStyle w:val="36"/>
        </w:rPr>
        <w:t>RehabGlove</w:t>
      </w:r>
      <w:r>
        <w:rPr>
          <w:lang w:val="ru-RU"/>
        </w:rPr>
        <w:t>, застосовуються для:</w:t>
      </w:r>
    </w:p>
    <w:p w14:paraId="1188896D">
      <w:pPr>
        <w:pStyle w:val="34"/>
        <w:numPr>
          <w:ilvl w:val="0"/>
          <w:numId w:val="30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імітації рухів верхніх кінцівок у гейміфікованому середовищі;</w:t>
      </w:r>
    </w:p>
    <w:p w14:paraId="3E0CE4A1">
      <w:pPr>
        <w:pStyle w:val="34"/>
        <w:numPr>
          <w:ilvl w:val="0"/>
          <w:numId w:val="30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стимуляції нейропластичності після черепно-мозкових травм;</w:t>
      </w:r>
    </w:p>
    <w:p w14:paraId="0FABB9A6">
      <w:pPr>
        <w:pStyle w:val="34"/>
        <w:numPr>
          <w:ilvl w:val="0"/>
          <w:numId w:val="30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зниження больового синдрому через відволікальний ефект.</w:t>
      </w:r>
    </w:p>
    <w:p w14:paraId="49FDE1E2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rStyle w:val="36"/>
        </w:rPr>
        <w:t>AR</w:t>
      </w:r>
      <w:r>
        <w:rPr>
          <w:rStyle w:val="36"/>
          <w:lang w:val="ru-RU"/>
        </w:rPr>
        <w:t>-системи</w:t>
      </w:r>
      <w:r>
        <w:rPr>
          <w:lang w:val="ru-RU"/>
        </w:rPr>
        <w:t xml:space="preserve"> допомагають у навчанні ходьбі, балансуванню та виконанню складних моторних завдань.</w:t>
      </w:r>
    </w:p>
    <w:p w14:paraId="2BCF6701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Роботизовані системи</w:t>
      </w:r>
    </w:p>
    <w:p w14:paraId="4EAF6B47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Сучасні реабілітаційні пристрої з активною механікою дозволяють забезпечити </w:t>
      </w:r>
      <w:r>
        <w:rPr>
          <w:rStyle w:val="36"/>
          <w:lang w:val="ru-RU"/>
        </w:rPr>
        <w:t>точне відтворення фізіологічних рухів</w:t>
      </w:r>
      <w:r>
        <w:rPr>
          <w:lang w:val="ru-RU"/>
        </w:rPr>
        <w:t>:</w:t>
      </w:r>
    </w:p>
    <w:p w14:paraId="3AB35B6F">
      <w:pPr>
        <w:pStyle w:val="34"/>
        <w:numPr>
          <w:ilvl w:val="0"/>
          <w:numId w:val="31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</w:rPr>
        <w:t>Lokomat</w:t>
      </w:r>
      <w:r>
        <w:rPr>
          <w:rStyle w:val="36"/>
          <w:lang w:val="ru-RU"/>
        </w:rPr>
        <w:t>®</w:t>
      </w:r>
      <w:r>
        <w:rPr>
          <w:lang w:val="ru-RU"/>
        </w:rPr>
        <w:t xml:space="preserve"> — система з екзоскелетом для тренування ходьби на біговій доріжці з біологічним зворотним зв'язком.</w:t>
      </w:r>
    </w:p>
    <w:p w14:paraId="0DC78699">
      <w:pPr>
        <w:pStyle w:val="34"/>
        <w:numPr>
          <w:ilvl w:val="0"/>
          <w:numId w:val="31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</w:rPr>
        <w:t>ExoAtlet</w:t>
      </w:r>
      <w:r>
        <w:rPr>
          <w:rStyle w:val="36"/>
          <w:lang w:val="ru-RU"/>
        </w:rPr>
        <w:t>®</w:t>
      </w:r>
      <w:r>
        <w:rPr>
          <w:lang w:val="ru-RU"/>
        </w:rPr>
        <w:t xml:space="preserve"> — мобільний екзоскелет для реабілітації після спінальних травм і ампутацій нижніх кінцівок.</w:t>
      </w:r>
    </w:p>
    <w:p w14:paraId="3A8343D2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Ці пристрої дозволяють проводити великі обсяги повторюваних вправ, що критично важливо для формування нових нейронних шляхів.</w:t>
      </w:r>
    </w:p>
    <w:p w14:paraId="58CD9785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Біонічні протези з </w:t>
      </w:r>
      <w:r>
        <w:rPr>
          <w:rFonts w:ascii="Times New Roman" w:hAnsi="Times New Roman" w:cs="Times New Roman"/>
          <w:color w:val="auto"/>
          <w:sz w:val="24"/>
          <w:szCs w:val="24"/>
        </w:rPr>
        <w:t>EMG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-керуванням</w:t>
      </w:r>
    </w:p>
    <w:p w14:paraId="623AA70D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Новітні моделі протезів зчитують </w:t>
      </w:r>
      <w:r>
        <w:rPr>
          <w:rStyle w:val="36"/>
          <w:lang w:val="ru-RU"/>
        </w:rPr>
        <w:t>електроміографічні сигнали (</w:t>
      </w:r>
      <w:r>
        <w:rPr>
          <w:rStyle w:val="36"/>
        </w:rPr>
        <w:t>EMG</w:t>
      </w:r>
      <w:r>
        <w:rPr>
          <w:rStyle w:val="36"/>
          <w:lang w:val="ru-RU"/>
        </w:rPr>
        <w:t>)</w:t>
      </w:r>
      <w:r>
        <w:rPr>
          <w:lang w:val="ru-RU"/>
        </w:rPr>
        <w:t xml:space="preserve"> м'язів-антагоністів та інтерпретують їх у контроль рухів:</w:t>
      </w:r>
    </w:p>
    <w:p w14:paraId="7F27807A">
      <w:pPr>
        <w:pStyle w:val="34"/>
        <w:numPr>
          <w:ilvl w:val="0"/>
          <w:numId w:val="3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дозволяють відтворювати до 10–15 різних типів захватів;</w:t>
      </w:r>
    </w:p>
    <w:p w14:paraId="2978B199">
      <w:pPr>
        <w:pStyle w:val="34"/>
        <w:numPr>
          <w:ilvl w:val="0"/>
          <w:numId w:val="3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мають функції автоматичної адаптації до об'єкта;</w:t>
      </w:r>
    </w:p>
    <w:p w14:paraId="1641F601">
      <w:pPr>
        <w:pStyle w:val="34"/>
        <w:numPr>
          <w:ilvl w:val="0"/>
          <w:numId w:val="32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синхронізуються зі смартфоном для калібрування;</w:t>
      </w:r>
    </w:p>
    <w:p w14:paraId="7B873969">
      <w:pPr>
        <w:pStyle w:val="34"/>
        <w:numPr>
          <w:ilvl w:val="0"/>
          <w:numId w:val="32"/>
        </w:numPr>
        <w:spacing w:before="0" w:beforeAutospacing="0" w:after="0" w:afterAutospacing="0"/>
        <w:jc w:val="both"/>
      </w:pPr>
      <w:r>
        <w:t xml:space="preserve">приклад — </w:t>
      </w:r>
      <w:r>
        <w:rPr>
          <w:rStyle w:val="36"/>
        </w:rPr>
        <w:t>i-Limb Quantum, Michelangelo Hand, Open Bionics Hero Arm</w:t>
      </w:r>
      <w:r>
        <w:t>.</w:t>
      </w:r>
    </w:p>
    <w:p w14:paraId="0DB26211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Системи аналізу руху (наприклад, 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</w:rPr>
        <w:t>G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-</w:t>
      </w:r>
      <w:r>
        <w:rPr>
          <w:rStyle w:val="36"/>
          <w:rFonts w:ascii="Times New Roman" w:hAnsi="Times New Roman" w:cs="Times New Roman"/>
          <w:b/>
          <w:bCs/>
          <w:color w:val="auto"/>
          <w:sz w:val="24"/>
          <w:szCs w:val="24"/>
        </w:rPr>
        <w:t>Walk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)</w:t>
      </w:r>
    </w:p>
    <w:p w14:paraId="0F68CF77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Інструменти біомеханічного моніторингу дають змогу:</w:t>
      </w:r>
    </w:p>
    <w:p w14:paraId="42EBBEEE">
      <w:pPr>
        <w:pStyle w:val="34"/>
        <w:numPr>
          <w:ilvl w:val="0"/>
          <w:numId w:val="33"/>
        </w:numPr>
        <w:spacing w:before="0" w:beforeAutospacing="0" w:after="0" w:afterAutospacing="0"/>
        <w:jc w:val="both"/>
      </w:pPr>
      <w:r>
        <w:t>точно оцінювати симетрію ходи;</w:t>
      </w:r>
    </w:p>
    <w:p w14:paraId="69087ADD">
      <w:pPr>
        <w:pStyle w:val="34"/>
        <w:numPr>
          <w:ilvl w:val="0"/>
          <w:numId w:val="33"/>
        </w:numPr>
        <w:spacing w:before="0" w:beforeAutospacing="0" w:after="0" w:afterAutospacing="0"/>
        <w:jc w:val="both"/>
      </w:pPr>
      <w:r>
        <w:t>вимірювати кутові швидкості, амплітуду рухів;</w:t>
      </w:r>
    </w:p>
    <w:p w14:paraId="055E584A">
      <w:pPr>
        <w:pStyle w:val="34"/>
        <w:numPr>
          <w:ilvl w:val="0"/>
          <w:numId w:val="33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коригувати програму відновлення на основі даних.</w:t>
      </w:r>
    </w:p>
    <w:p w14:paraId="0F6DC6DC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Це особливо цінно при нейроортопедичних ураженнях (ЧМТ, спінальні травми, ампутації тазу).</w:t>
      </w:r>
    </w:p>
    <w:p w14:paraId="01728D57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Телереабілітація та мобільні додатки</w:t>
      </w:r>
    </w:p>
    <w:p w14:paraId="22A4E48D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Телереабілітація стає стратегічно важливою для </w:t>
      </w:r>
      <w:r>
        <w:rPr>
          <w:rStyle w:val="36"/>
          <w:lang w:val="ru-RU"/>
        </w:rPr>
        <w:t>доступу до реабілітації у віддалених чи прифронтових регіонах</w:t>
      </w:r>
      <w:r>
        <w:rPr>
          <w:lang w:val="ru-RU"/>
        </w:rPr>
        <w:t>:</w:t>
      </w:r>
    </w:p>
    <w:p w14:paraId="2AE0B391">
      <w:pPr>
        <w:pStyle w:val="34"/>
        <w:numPr>
          <w:ilvl w:val="0"/>
          <w:numId w:val="3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платформи як </w:t>
      </w:r>
      <w:r>
        <w:rPr>
          <w:rStyle w:val="36"/>
        </w:rPr>
        <w:t>RehabApp</w:t>
      </w:r>
      <w:r>
        <w:rPr>
          <w:lang w:val="ru-RU"/>
        </w:rPr>
        <w:t xml:space="preserve">, </w:t>
      </w:r>
      <w:r>
        <w:rPr>
          <w:rStyle w:val="36"/>
        </w:rPr>
        <w:t>MedeAnalytics</w:t>
      </w:r>
      <w:r>
        <w:rPr>
          <w:lang w:val="ru-RU"/>
        </w:rPr>
        <w:t xml:space="preserve">, </w:t>
      </w:r>
      <w:r>
        <w:rPr>
          <w:rStyle w:val="36"/>
        </w:rPr>
        <w:t>Wellinks</w:t>
      </w:r>
      <w:r>
        <w:rPr>
          <w:lang w:val="ru-RU"/>
        </w:rPr>
        <w:t xml:space="preserve"> надають відеотренування, ведення щоденника активності, зворотний зв'язок з лікарем;</w:t>
      </w:r>
    </w:p>
    <w:p w14:paraId="09558574">
      <w:pPr>
        <w:pStyle w:val="34"/>
        <w:numPr>
          <w:ilvl w:val="0"/>
          <w:numId w:val="3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дозволяють зменшити навантаження на госпіталі;</w:t>
      </w:r>
    </w:p>
    <w:p w14:paraId="30ED5EB6">
      <w:pPr>
        <w:pStyle w:val="34"/>
        <w:numPr>
          <w:ilvl w:val="0"/>
          <w:numId w:val="34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особливо ефективні в умовах карантину, евакуації чи обмеженої мобільності.</w:t>
      </w:r>
    </w:p>
    <w:p w14:paraId="48D646B7">
      <w:pPr>
        <w:pStyle w:val="3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9</w:t>
      </w:r>
      <w:r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.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Психосоціальна реабілітація</w:t>
      </w:r>
    </w:p>
    <w:p w14:paraId="5F63B9B6">
      <w:pPr>
        <w:pStyle w:val="34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Психосоціальна реабілітація є невід’ємною частиною відновлення поранених після реконструктивних операцій. Вона спрямована не лише на усунення клінічних симптомів психічних розладів, а й на </w:t>
      </w:r>
      <w:r>
        <w:rPr>
          <w:rStyle w:val="36"/>
          <w:lang w:val="ru-RU"/>
        </w:rPr>
        <w:t>повернення особистості до активної участі в житті суспільства</w:t>
      </w:r>
      <w:r>
        <w:rPr>
          <w:lang w:val="ru-RU"/>
        </w:rPr>
        <w:t>, відновлення її соціальних ролей і професійного потенціалу.</w:t>
      </w:r>
    </w:p>
    <w:p w14:paraId="0FD87627">
      <w:pPr>
        <w:pStyle w:val="4"/>
        <w:spacing w:before="0" w:line="240" w:lineRule="auto"/>
        <w:ind w:firstLine="720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А). Основні психічні ускладнення</w:t>
      </w:r>
    </w:p>
    <w:p w14:paraId="7E397362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У військових та цивільних, які зазнали важких поранень, найчастіше спостерігаються:</w:t>
      </w:r>
    </w:p>
    <w:p w14:paraId="7D0C5FCC">
      <w:pPr>
        <w:pStyle w:val="34"/>
        <w:numPr>
          <w:ilvl w:val="0"/>
          <w:numId w:val="35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Посттравматичний стресовий розлад (ПТСР)</w:t>
      </w:r>
      <w:r>
        <w:rPr>
          <w:lang w:val="ru-RU"/>
        </w:rPr>
        <w:t xml:space="preserve"> — характерний для до 60–80% ветеранів бойових дій; проявляється флешбеками, нічними кошмарами, униканням нагадувань про травму.</w:t>
      </w:r>
    </w:p>
    <w:p w14:paraId="5EC41636">
      <w:pPr>
        <w:pStyle w:val="34"/>
        <w:numPr>
          <w:ilvl w:val="0"/>
          <w:numId w:val="35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Депресивні розлади</w:t>
      </w:r>
      <w:r>
        <w:rPr>
          <w:lang w:val="ru-RU"/>
        </w:rPr>
        <w:t xml:space="preserve"> — знижений настрій, втрата мотивації, суїцидальні думки.</w:t>
      </w:r>
    </w:p>
    <w:p w14:paraId="2394EE42">
      <w:pPr>
        <w:pStyle w:val="34"/>
        <w:numPr>
          <w:ilvl w:val="0"/>
          <w:numId w:val="35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Тривожні розлади</w:t>
      </w:r>
      <w:r>
        <w:rPr>
          <w:lang w:val="ru-RU"/>
        </w:rPr>
        <w:t xml:space="preserve"> — генералізована тривога, панічні атаки, соціальна ізоляція.</w:t>
      </w:r>
    </w:p>
    <w:p w14:paraId="23852F3F">
      <w:pPr>
        <w:pStyle w:val="34"/>
        <w:numPr>
          <w:ilvl w:val="0"/>
          <w:numId w:val="35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Емоційне вигорання</w:t>
      </w:r>
      <w:r>
        <w:rPr>
          <w:lang w:val="ru-RU"/>
        </w:rPr>
        <w:t xml:space="preserve"> — особливо у тих, хто переживає довготривале лікування та реабілітацію.</w:t>
      </w:r>
    </w:p>
    <w:p w14:paraId="4772527D">
      <w:pPr>
        <w:pStyle w:val="4"/>
        <w:spacing w:before="0" w:line="240" w:lineRule="auto"/>
        <w:ind w:firstLine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uk-UA"/>
        </w:rPr>
        <w:t>Б)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Методи психотерапевтичної допомоги</w:t>
      </w:r>
    </w:p>
    <w:p w14:paraId="07D34DA5">
      <w:pPr>
        <w:pStyle w:val="34"/>
        <w:numPr>
          <w:ilvl w:val="0"/>
          <w:numId w:val="36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Індивідуальна психотерапія</w:t>
      </w:r>
      <w:r>
        <w:rPr>
          <w:lang w:val="ru-RU"/>
        </w:rPr>
        <w:t xml:space="preserve"> (когнітивно-поведінкова, </w:t>
      </w:r>
      <w:r>
        <w:t>EMDR</w:t>
      </w:r>
      <w:r>
        <w:rPr>
          <w:lang w:val="ru-RU"/>
        </w:rPr>
        <w:t>, психоаналітична робота).</w:t>
      </w:r>
    </w:p>
    <w:p w14:paraId="50566A50">
      <w:pPr>
        <w:pStyle w:val="34"/>
        <w:numPr>
          <w:ilvl w:val="0"/>
          <w:numId w:val="36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Групова терапія</w:t>
      </w:r>
      <w:r>
        <w:rPr>
          <w:lang w:val="ru-RU"/>
        </w:rPr>
        <w:t xml:space="preserve"> — формує підтримуюче середовище, дозволяє зменшити ізоляцію.</w:t>
      </w:r>
    </w:p>
    <w:p w14:paraId="1E3961D2">
      <w:pPr>
        <w:pStyle w:val="34"/>
        <w:numPr>
          <w:ilvl w:val="0"/>
          <w:numId w:val="36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Арт-терапія</w:t>
      </w:r>
      <w:r>
        <w:rPr>
          <w:lang w:val="ru-RU"/>
        </w:rPr>
        <w:t xml:space="preserve"> — образотворче мистецтво, музика, драматерапія як інструменти емоційної розрядки.</w:t>
      </w:r>
    </w:p>
    <w:p w14:paraId="1A6A7834">
      <w:pPr>
        <w:pStyle w:val="34"/>
        <w:numPr>
          <w:ilvl w:val="0"/>
          <w:numId w:val="36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Тілесно-орієнтовані методи</w:t>
      </w:r>
      <w:r>
        <w:rPr>
          <w:lang w:val="ru-RU"/>
        </w:rPr>
        <w:t xml:space="preserve"> — йога, дихальні практики, техніки релаксації.</w:t>
      </w:r>
    </w:p>
    <w:p w14:paraId="01921E3D">
      <w:pPr>
        <w:pStyle w:val="34"/>
        <w:numPr>
          <w:ilvl w:val="0"/>
          <w:numId w:val="36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Психоосвіта</w:t>
      </w:r>
      <w:r>
        <w:rPr>
          <w:lang w:val="ru-RU"/>
        </w:rPr>
        <w:t xml:space="preserve"> — навчання пацієнтів та їхніх родичів розумінню природи психічних розладів.</w:t>
      </w:r>
    </w:p>
    <w:p w14:paraId="5D9EB83D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В). Роль родини</w:t>
      </w:r>
    </w:p>
    <w:p w14:paraId="2D0EF133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Родина — ключовий фактор успішної реадаптації. Залучення близьких до процесу включає:</w:t>
      </w:r>
    </w:p>
    <w:p w14:paraId="31480C31">
      <w:pPr>
        <w:pStyle w:val="34"/>
        <w:numPr>
          <w:ilvl w:val="0"/>
          <w:numId w:val="37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навчання базовим навичкам догляду та підтримки;</w:t>
      </w:r>
    </w:p>
    <w:p w14:paraId="34088566">
      <w:pPr>
        <w:pStyle w:val="34"/>
        <w:numPr>
          <w:ilvl w:val="0"/>
          <w:numId w:val="37"/>
        </w:numPr>
        <w:spacing w:before="0" w:beforeAutospacing="0" w:after="0" w:afterAutospacing="0"/>
        <w:jc w:val="both"/>
      </w:pPr>
      <w:r>
        <w:t>участь у сімейній психотерапії;</w:t>
      </w:r>
    </w:p>
    <w:p w14:paraId="45F26C7A">
      <w:pPr>
        <w:pStyle w:val="34"/>
        <w:numPr>
          <w:ilvl w:val="0"/>
          <w:numId w:val="37"/>
        </w:numPr>
        <w:spacing w:before="0" w:beforeAutospacing="0" w:after="0" w:afterAutospacing="0"/>
        <w:jc w:val="both"/>
      </w:pPr>
      <w:r>
        <w:t>формування адекватного емоційного клімату;</w:t>
      </w:r>
    </w:p>
    <w:p w14:paraId="003856AC">
      <w:pPr>
        <w:pStyle w:val="34"/>
        <w:numPr>
          <w:ilvl w:val="0"/>
          <w:numId w:val="37"/>
        </w:numPr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профілактику співзалежності та вторинної травматизації.</w:t>
      </w:r>
    </w:p>
    <w:p w14:paraId="0C61A981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uk-UA"/>
        </w:rPr>
        <w:t>Г)</w:t>
      </w:r>
      <w:r>
        <w:rPr>
          <w:rFonts w:ascii="Times New Roman" w:hAnsi="Times New Roman" w:cs="Times New Roman"/>
          <w:color w:val="auto"/>
          <w:sz w:val="24"/>
          <w:szCs w:val="24"/>
        </w:rPr>
        <w:t>. Соціальна інтеграція</w:t>
      </w:r>
    </w:p>
    <w:p w14:paraId="19B06301">
      <w:pPr>
        <w:pStyle w:val="34"/>
        <w:numPr>
          <w:ilvl w:val="0"/>
          <w:numId w:val="38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Програми професійної реорієнтації</w:t>
      </w:r>
      <w:r>
        <w:rPr>
          <w:lang w:val="ru-RU"/>
        </w:rPr>
        <w:t xml:space="preserve"> — допомагають ветеранам отримати нові навички й професії.</w:t>
      </w:r>
    </w:p>
    <w:p w14:paraId="1ED2D481">
      <w:pPr>
        <w:pStyle w:val="34"/>
        <w:numPr>
          <w:ilvl w:val="0"/>
          <w:numId w:val="38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Ветеранські простори</w:t>
      </w:r>
      <w:r>
        <w:rPr>
          <w:lang w:val="ru-RU"/>
        </w:rPr>
        <w:t xml:space="preserve"> (наприклад, “</w:t>
      </w:r>
      <w:r>
        <w:t>Veteran</w:t>
      </w:r>
      <w:r>
        <w:rPr>
          <w:lang w:val="ru-RU"/>
        </w:rPr>
        <w:t xml:space="preserve"> </w:t>
      </w:r>
      <w:r>
        <w:t>Hub</w:t>
      </w:r>
      <w:r>
        <w:rPr>
          <w:lang w:val="ru-RU"/>
        </w:rPr>
        <w:t>”) — центри соціалізації та підтримки.</w:t>
      </w:r>
    </w:p>
    <w:p w14:paraId="192F1778">
      <w:pPr>
        <w:pStyle w:val="34"/>
        <w:numPr>
          <w:ilvl w:val="0"/>
          <w:numId w:val="38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Ре-тренінги та курси</w:t>
      </w:r>
      <w:r>
        <w:rPr>
          <w:lang w:val="ru-RU"/>
        </w:rPr>
        <w:t xml:space="preserve"> — адаптація до цивільних умов праці.</w:t>
      </w:r>
    </w:p>
    <w:p w14:paraId="3EA41413">
      <w:pPr>
        <w:pStyle w:val="34"/>
        <w:numPr>
          <w:ilvl w:val="0"/>
          <w:numId w:val="38"/>
        </w:numPr>
        <w:spacing w:before="0" w:beforeAutospacing="0" w:after="0" w:afterAutospacing="0"/>
        <w:jc w:val="both"/>
        <w:rPr>
          <w:lang w:val="ru-RU"/>
        </w:rPr>
      </w:pPr>
      <w:r>
        <w:rPr>
          <w:rStyle w:val="36"/>
          <w:lang w:val="ru-RU"/>
        </w:rPr>
        <w:t>Громадська активність</w:t>
      </w:r>
      <w:r>
        <w:rPr>
          <w:lang w:val="ru-RU"/>
        </w:rPr>
        <w:t xml:space="preserve"> — волонтерство, участь у ветеранських організаціях.</w:t>
      </w:r>
    </w:p>
    <w:p w14:paraId="37A2E4F2">
      <w:pPr>
        <w:pStyle w:val="4"/>
        <w:spacing w:before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Д). Психосоціальна реабілітація як безперервний процес</w:t>
      </w:r>
    </w:p>
    <w:p w14:paraId="7F35F75F">
      <w:pPr>
        <w:pStyle w:val="34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Вона не обмежується клінічним лікуванням. Це </w:t>
      </w:r>
      <w:r>
        <w:rPr>
          <w:rStyle w:val="36"/>
          <w:lang w:val="ru-RU"/>
        </w:rPr>
        <w:t>довготривалий процес підтримки</w:t>
      </w:r>
      <w:r>
        <w:rPr>
          <w:lang w:val="ru-RU"/>
        </w:rPr>
        <w:t>, який триває роками, передбачає періодичні повторні курси і включає:</w:t>
      </w:r>
    </w:p>
    <w:p w14:paraId="545FE116">
      <w:pPr>
        <w:pStyle w:val="34"/>
        <w:numPr>
          <w:ilvl w:val="0"/>
          <w:numId w:val="39"/>
        </w:numPr>
        <w:spacing w:before="0" w:beforeAutospacing="0" w:after="0" w:afterAutospacing="0"/>
        <w:jc w:val="both"/>
      </w:pPr>
      <w:r>
        <w:t>психологічний супровід,</w:t>
      </w:r>
    </w:p>
    <w:p w14:paraId="7D4AE048">
      <w:pPr>
        <w:pStyle w:val="34"/>
        <w:numPr>
          <w:ilvl w:val="0"/>
          <w:numId w:val="39"/>
        </w:numPr>
        <w:spacing w:before="0" w:beforeAutospacing="0" w:after="0" w:afterAutospacing="0"/>
        <w:jc w:val="both"/>
      </w:pPr>
      <w:r>
        <w:t>медико-соціальну експертизу,</w:t>
      </w:r>
    </w:p>
    <w:p w14:paraId="3C8B1B73">
      <w:pPr>
        <w:pStyle w:val="34"/>
        <w:numPr>
          <w:ilvl w:val="0"/>
          <w:numId w:val="39"/>
        </w:numPr>
        <w:spacing w:before="0" w:beforeAutospacing="0" w:after="0" w:afterAutospacing="0"/>
        <w:jc w:val="both"/>
      </w:pPr>
      <w:r>
        <w:t>соціальні послуги та пільги,</w:t>
      </w:r>
    </w:p>
    <w:p w14:paraId="3FA8D6D4">
      <w:pPr>
        <w:pStyle w:val="34"/>
        <w:numPr>
          <w:ilvl w:val="0"/>
          <w:numId w:val="39"/>
        </w:numPr>
        <w:spacing w:before="0" w:beforeAutospacing="0" w:after="0" w:afterAutospacing="0"/>
        <w:jc w:val="both"/>
      </w:pPr>
      <w:r>
        <w:t>інтеграцію у громаду.</w:t>
      </w:r>
    </w:p>
    <w:p w14:paraId="1D574AB7">
      <w:pPr>
        <w:jc w:val="both"/>
        <w:rPr>
          <w:rFonts w:cs="Times New Roman"/>
          <w:lang w:val="ru-RU"/>
        </w:rPr>
      </w:pPr>
    </w:p>
    <w:p w14:paraId="5D20DF0D">
      <w:pPr>
        <w:jc w:val="both"/>
        <w:rPr>
          <w:rFonts w:cs="Times New Roman"/>
          <w:lang w:val="ru-RU"/>
        </w:rPr>
      </w:pPr>
    </w:p>
    <w:p w14:paraId="5F429AD4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Підбиття підсумків</w:t>
      </w:r>
      <w:r>
        <w:rPr>
          <w:rFonts w:cs="Times New Roman"/>
          <w:color w:val="000000" w:themeColor="text1"/>
          <w:sz w:val="24"/>
          <w:szCs w:val="24"/>
          <w:lang w:val="ru-RU"/>
          <w14:textFill>
            <w14:solidFill>
              <w14:schemeClr w14:val="tx1"/>
            </w14:solidFill>
          </w14:textFill>
        </w:rPr>
        <w:t>:</w:t>
      </w:r>
      <w:r>
        <w:rPr>
          <w:rFonts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193A94CB">
      <w:pPr>
        <w:rPr>
          <w:color w:val="000000" w:themeColor="text1"/>
          <w:lang w:val="uk-UA"/>
          <w14:textFill>
            <w14:solidFill>
              <w14:schemeClr w14:val="tx1"/>
            </w14:solidFill>
          </w14:textFill>
        </w:rPr>
      </w:pPr>
    </w:p>
    <w:p w14:paraId="3EC8B0CD">
      <w:pPr>
        <w:pStyle w:val="168"/>
        <w:spacing w:before="0" w:after="0" w:line="240" w:lineRule="auto"/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>Список рекомендованої літератури:</w:t>
      </w:r>
    </w:p>
    <w:p w14:paraId="2C0F85B9">
      <w:pPr>
        <w:pStyle w:val="3"/>
        <w:rPr>
          <w:rFonts w:ascii="Times New Roman" w:hAnsi="Times New Roman" w:cs="Times New Roman"/>
          <w:b w:val="0"/>
          <w:i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i/>
          <w:color w:val="auto"/>
          <w:sz w:val="24"/>
          <w:szCs w:val="24"/>
          <w:lang w:val="ru-RU"/>
        </w:rPr>
        <w:t>Рекомендована література (друковані джерела)</w:t>
      </w:r>
    </w:p>
    <w:p w14:paraId="41F99A3A">
      <w:pPr>
        <w:pStyle w:val="34"/>
        <w:numPr>
          <w:ilvl w:val="0"/>
          <w:numId w:val="40"/>
        </w:numPr>
      </w:pPr>
      <w:r>
        <w:rPr>
          <w:rStyle w:val="36"/>
          <w:b w:val="0"/>
        </w:rPr>
        <w:t>World Health Organization.</w:t>
      </w:r>
      <w:r>
        <w:rPr>
          <w:rStyle w:val="174"/>
        </w:rPr>
        <w:t xml:space="preserve"> </w:t>
      </w:r>
      <w:r>
        <w:rPr>
          <w:rStyle w:val="18"/>
          <w:rFonts w:eastAsiaTheme="majorEastAsia"/>
          <w:i w:val="0"/>
        </w:rPr>
        <w:t>ICF: Practical Manual for using the International Classification of Functioning, Disability and Health (ICF).</w:t>
      </w:r>
      <w:r>
        <w:rPr>
          <w:rStyle w:val="174"/>
        </w:rPr>
        <w:t xml:space="preserve"> Geneva: WHO, 2013.</w:t>
      </w:r>
    </w:p>
    <w:p w14:paraId="238C697D">
      <w:pPr>
        <w:pStyle w:val="34"/>
        <w:numPr>
          <w:ilvl w:val="0"/>
          <w:numId w:val="40"/>
        </w:numPr>
      </w:pPr>
      <w:r>
        <w:rPr>
          <w:rStyle w:val="174"/>
        </w:rPr>
        <w:t xml:space="preserve">Kostanjsek N. </w:t>
      </w:r>
      <w:r>
        <w:rPr>
          <w:rStyle w:val="18"/>
          <w:rFonts w:eastAsiaTheme="majorEastAsia"/>
          <w:i w:val="0"/>
        </w:rPr>
        <w:t>Use of The International Classification of Functioning, Disability and Health (ICF) as a conceptual framework and common language for disability statistics and health information systems.</w:t>
      </w:r>
      <w:r>
        <w:rPr>
          <w:rStyle w:val="174"/>
        </w:rPr>
        <w:t xml:space="preserve"> </w:t>
      </w:r>
      <w:r>
        <w:rPr>
          <w:rStyle w:val="18"/>
          <w:rFonts w:eastAsiaTheme="majorEastAsia"/>
          <w:i w:val="0"/>
        </w:rPr>
        <w:t>BMC Public Health.</w:t>
      </w:r>
      <w:r>
        <w:rPr>
          <w:rStyle w:val="174"/>
        </w:rPr>
        <w:t xml:space="preserve"> 2011;11(Suppl 4):S3.</w:t>
      </w:r>
    </w:p>
    <w:p w14:paraId="0A46B66A">
      <w:pPr>
        <w:pStyle w:val="34"/>
        <w:numPr>
          <w:ilvl w:val="0"/>
          <w:numId w:val="40"/>
        </w:numPr>
      </w:pPr>
      <w:r>
        <w:rPr>
          <w:rStyle w:val="174"/>
        </w:rPr>
        <w:t xml:space="preserve">Бойко О.В., Лисенко Г.І., Мартинюк О.В. </w:t>
      </w:r>
      <w:r>
        <w:rPr>
          <w:rStyle w:val="18"/>
          <w:rFonts w:eastAsiaTheme="majorEastAsia"/>
          <w:i w:val="0"/>
        </w:rPr>
        <w:t>Міжнародна класифікація функціонування, обмежень життєдіяльності та здоров’я: методичні аспекти впровадження в Україні.</w:t>
      </w:r>
      <w:r>
        <w:rPr>
          <w:rStyle w:val="174"/>
        </w:rPr>
        <w:t xml:space="preserve"> Київ: МОЗ України, 2018.</w:t>
      </w:r>
    </w:p>
    <w:p w14:paraId="55D0C36B">
      <w:pPr>
        <w:pStyle w:val="34"/>
        <w:numPr>
          <w:ilvl w:val="0"/>
          <w:numId w:val="40"/>
        </w:numPr>
      </w:pPr>
      <w:r>
        <w:rPr>
          <w:rStyle w:val="174"/>
          <w:lang w:val="ru-RU"/>
        </w:rPr>
        <w:t xml:space="preserve">Ярошенко А.О. </w:t>
      </w:r>
      <w:r>
        <w:rPr>
          <w:rStyle w:val="18"/>
          <w:rFonts w:eastAsiaTheme="majorEastAsia"/>
          <w:i w:val="0"/>
          <w:lang w:val="ru-RU"/>
        </w:rPr>
        <w:t>Біопсихосоціальна модель реабілітації: сучасні підходи та перспективи в Україні.</w:t>
      </w:r>
      <w:r>
        <w:rPr>
          <w:rStyle w:val="174"/>
          <w:lang w:val="ru-RU"/>
        </w:rPr>
        <w:t xml:space="preserve"> </w:t>
      </w:r>
      <w:r>
        <w:rPr>
          <w:rStyle w:val="18"/>
          <w:rFonts w:eastAsiaTheme="majorEastAsia"/>
          <w:i w:val="0"/>
        </w:rPr>
        <w:t>Український медичний часопис.</w:t>
      </w:r>
      <w:r>
        <w:rPr>
          <w:rStyle w:val="174"/>
        </w:rPr>
        <w:t xml:space="preserve"> 2020;2(126):45–49.</w:t>
      </w:r>
    </w:p>
    <w:p w14:paraId="3D401F36">
      <w:pPr>
        <w:pStyle w:val="34"/>
        <w:numPr>
          <w:ilvl w:val="0"/>
          <w:numId w:val="40"/>
        </w:numPr>
      </w:pPr>
      <w:r>
        <w:rPr>
          <w:rStyle w:val="174"/>
        </w:rPr>
        <w:t xml:space="preserve">Gutenbrunner C., Bickenbach J., Kiekens C., Meyer T., Skempes D., Stucki G. </w:t>
      </w:r>
      <w:r>
        <w:rPr>
          <w:rStyle w:val="18"/>
          <w:rFonts w:eastAsiaTheme="majorEastAsia"/>
          <w:i w:val="0"/>
        </w:rPr>
        <w:t>Strengthening health-related rehabilitation services at national and international levels: WHO’s call for action.</w:t>
      </w:r>
      <w:r>
        <w:rPr>
          <w:rStyle w:val="174"/>
        </w:rPr>
        <w:t xml:space="preserve"> </w:t>
      </w:r>
      <w:r>
        <w:rPr>
          <w:rStyle w:val="18"/>
          <w:rFonts w:eastAsiaTheme="majorEastAsia"/>
          <w:i w:val="0"/>
        </w:rPr>
        <w:t>Eur J Phys Rehabil Med.</w:t>
      </w:r>
      <w:r>
        <w:rPr>
          <w:rStyle w:val="174"/>
        </w:rPr>
        <w:t xml:space="preserve"> 2018;54(2):208–215.</w:t>
      </w:r>
    </w:p>
    <w:p w14:paraId="5FFA294A">
      <w:pPr>
        <w:pStyle w:val="34"/>
        <w:numPr>
          <w:ilvl w:val="0"/>
          <w:numId w:val="40"/>
        </w:numPr>
      </w:pPr>
      <w:r>
        <w:rPr>
          <w:rStyle w:val="174"/>
        </w:rPr>
        <w:t xml:space="preserve">Roy I.V., Borzykh N.O., Katiukova L.D., et al. </w:t>
      </w:r>
      <w:r>
        <w:rPr>
          <w:rStyle w:val="18"/>
          <w:rFonts w:eastAsiaTheme="majorEastAsia"/>
          <w:i w:val="0"/>
        </w:rPr>
        <w:t>Modern Approaches to Rehabilitation of Soldiers with Gunshot Polystructural Injuries of Upper Limbs.</w:t>
      </w:r>
      <w:r>
        <w:rPr>
          <w:rStyle w:val="174"/>
        </w:rPr>
        <w:t xml:space="preserve"> </w:t>
      </w:r>
      <w:r>
        <w:rPr>
          <w:rStyle w:val="18"/>
          <w:rFonts w:eastAsiaTheme="majorEastAsia"/>
          <w:i w:val="0"/>
        </w:rPr>
        <w:t>Clinical Surgery.</w:t>
      </w:r>
      <w:r>
        <w:rPr>
          <w:rStyle w:val="174"/>
        </w:rPr>
        <w:t xml:space="preserve"> 2019;86(5):34–38.</w:t>
      </w:r>
      <w:r>
        <w:t xml:space="preserve"> </w:t>
      </w:r>
      <w:r>
        <w:fldChar w:fldCharType="begin"/>
      </w:r>
      <w:r>
        <w:instrText xml:space="preserve"> HYPERLINK "https://health.mvs.gov.ua/zhytomyr/therapy?utm_source=chatgpt.com" \t "_blank" </w:instrText>
      </w:r>
      <w:r>
        <w:fldChar w:fldCharType="separate"/>
      </w:r>
      <w:r>
        <w:rPr>
          <w:rStyle w:val="176"/>
          <w:u w:val="single"/>
        </w:rPr>
        <w:t>Unbroken</w:t>
      </w:r>
      <w:r>
        <w:rPr>
          <w:rStyle w:val="177"/>
          <w:rFonts w:eastAsiaTheme="majorEastAsia"/>
          <w:u w:val="single"/>
        </w:rPr>
        <w:t>+11</w:t>
      </w:r>
      <w:r>
        <w:rPr>
          <w:rStyle w:val="176"/>
          <w:u w:val="single"/>
        </w:rPr>
        <w:t>Департамент охорони здоров'я</w:t>
      </w:r>
      <w:r>
        <w:rPr>
          <w:rStyle w:val="177"/>
          <w:rFonts w:eastAsiaTheme="majorEastAsia"/>
          <w:u w:val="single"/>
        </w:rPr>
        <w:t>+11</w:t>
      </w:r>
      <w:r>
        <w:rPr>
          <w:rStyle w:val="176"/>
          <w:u w:val="single"/>
        </w:rPr>
        <w:t>essuir.sumdu.edu.ua</w:t>
      </w:r>
      <w:r>
        <w:rPr>
          <w:rStyle w:val="177"/>
          <w:rFonts w:eastAsiaTheme="majorEastAsia"/>
          <w:u w:val="single"/>
        </w:rPr>
        <w:t>+11</w:t>
      </w:r>
      <w:r>
        <w:rPr>
          <w:rStyle w:val="177"/>
          <w:rFonts w:eastAsiaTheme="majorEastAsia"/>
          <w:u w:val="single"/>
        </w:rPr>
        <w:fldChar w:fldCharType="end"/>
      </w:r>
      <w:r>
        <w:fldChar w:fldCharType="begin"/>
      </w:r>
      <w:r>
        <w:instrText xml:space="preserve"> HYPERLINK "https://ito.gov.ua/en/our-services/rehabilitation/?utm_source=chatgpt.com" \t "_blank" </w:instrText>
      </w:r>
      <w:r>
        <w:fldChar w:fldCharType="separate"/>
      </w:r>
      <w:r>
        <w:rPr>
          <w:rStyle w:val="176"/>
          <w:u w:val="single"/>
        </w:rPr>
        <w:t>superhumans.com</w:t>
      </w:r>
      <w:r>
        <w:rPr>
          <w:rStyle w:val="177"/>
          <w:rFonts w:eastAsiaTheme="majorEastAsia"/>
          <w:u w:val="single"/>
        </w:rPr>
        <w:t>+15</w:t>
      </w:r>
      <w:r>
        <w:rPr>
          <w:rStyle w:val="176"/>
          <w:u w:val="single"/>
        </w:rPr>
        <w:t>ito.gov.ua</w:t>
      </w:r>
      <w:r>
        <w:rPr>
          <w:rStyle w:val="177"/>
          <w:rFonts w:eastAsiaTheme="majorEastAsia"/>
          <w:u w:val="single"/>
        </w:rPr>
        <w:t>+15</w:t>
      </w:r>
      <w:r>
        <w:rPr>
          <w:rStyle w:val="176"/>
          <w:u w:val="single"/>
        </w:rPr>
        <w:t>Реабілітація травм війни в Україні</w:t>
      </w:r>
      <w:r>
        <w:rPr>
          <w:rStyle w:val="177"/>
          <w:rFonts w:eastAsiaTheme="majorEastAsia"/>
          <w:u w:val="single"/>
        </w:rPr>
        <w:t>+15</w:t>
      </w:r>
      <w:r>
        <w:rPr>
          <w:rStyle w:val="177"/>
          <w:rFonts w:eastAsiaTheme="majorEastAsia"/>
          <w:u w:val="single"/>
        </w:rPr>
        <w:fldChar w:fldCharType="end"/>
      </w:r>
    </w:p>
    <w:p w14:paraId="1B0EF173">
      <w:pPr>
        <w:pStyle w:val="34"/>
        <w:numPr>
          <w:ilvl w:val="0"/>
          <w:numId w:val="40"/>
        </w:numPr>
      </w:pPr>
      <w:r>
        <w:rPr>
          <w:rStyle w:val="174"/>
        </w:rPr>
        <w:t xml:space="preserve">Roy I.V., Protsenko V.V., Solonitsyn E.O., Borzykh N.O. </w:t>
      </w:r>
      <w:r>
        <w:rPr>
          <w:rStyle w:val="18"/>
          <w:rFonts w:eastAsiaTheme="majorEastAsia"/>
          <w:i w:val="0"/>
        </w:rPr>
        <w:t>Rehabilitation Principles for Patients with Bone Tumors (Modern View on the Problem).</w:t>
      </w:r>
      <w:r>
        <w:rPr>
          <w:rStyle w:val="174"/>
        </w:rPr>
        <w:t xml:space="preserve"> </w:t>
      </w:r>
      <w:r>
        <w:rPr>
          <w:rStyle w:val="18"/>
          <w:rFonts w:eastAsiaTheme="majorEastAsia"/>
          <w:i w:val="0"/>
        </w:rPr>
        <w:t>Trauma.</w:t>
      </w:r>
      <w:r>
        <w:rPr>
          <w:rStyle w:val="174"/>
        </w:rPr>
        <w:t xml:space="preserve"> 2019;20(4):125–130.</w:t>
      </w:r>
      <w:r>
        <w:t xml:space="preserve"> </w:t>
      </w:r>
      <w:r>
        <w:fldChar w:fldCharType="begin"/>
      </w:r>
      <w:r>
        <w:instrText xml:space="preserve"> HYPERLINK "https://ito.gov.ua/en/our-services/rehabilitation/?utm_source=chatgpt.com" \t "_blank" </w:instrText>
      </w:r>
      <w:r>
        <w:fldChar w:fldCharType="separate"/>
      </w:r>
      <w:r>
        <w:rPr>
          <w:rStyle w:val="176"/>
          <w:u w:val="single"/>
        </w:rPr>
        <w:t>ito.gov.ua</w:t>
      </w:r>
      <w:r>
        <w:rPr>
          <w:rStyle w:val="176"/>
          <w:u w:val="single"/>
        </w:rPr>
        <w:fldChar w:fldCharType="end"/>
      </w:r>
    </w:p>
    <w:p w14:paraId="7C0FFBAB">
      <w:pPr>
        <w:pStyle w:val="34"/>
        <w:numPr>
          <w:ilvl w:val="0"/>
          <w:numId w:val="40"/>
        </w:numPr>
      </w:pPr>
      <w:r>
        <w:rPr>
          <w:rStyle w:val="174"/>
        </w:rPr>
        <w:t xml:space="preserve">Zhang X., et al. </w:t>
      </w:r>
      <w:r>
        <w:rPr>
          <w:rStyle w:val="18"/>
          <w:rFonts w:eastAsiaTheme="majorEastAsia"/>
          <w:i w:val="0"/>
        </w:rPr>
        <w:t>Організація етапної реабілітації поранених з багатоетапними реконструктивними травмами.</w:t>
      </w:r>
      <w:r>
        <w:rPr>
          <w:rStyle w:val="174"/>
        </w:rPr>
        <w:t xml:space="preserve"> (2021) — опис груп тяжкості, AdTS</w:t>
      </w:r>
      <w:r>
        <w:rPr>
          <w:rStyle w:val="174"/>
        </w:rPr>
        <w:noBreakHyphen/>
      </w:r>
      <w:r>
        <w:rPr>
          <w:rStyle w:val="174"/>
        </w:rPr>
        <w:t>шкала, санаторно-курортні моделі реабілітації.</w:t>
      </w:r>
      <w:r>
        <w:t xml:space="preserve"> </w:t>
      </w:r>
    </w:p>
    <w:p w14:paraId="0C36DB3E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  <w:lang w:val="ru-RU"/>
        </w:rPr>
        <w:t>2. Додаткова література (оновлені дослідження, звіти, ініціативи)</w:t>
      </w:r>
    </w:p>
    <w:p w14:paraId="2F85806A">
      <w:pPr>
        <w:pStyle w:val="34"/>
        <w:numPr>
          <w:ilvl w:val="0"/>
          <w:numId w:val="41"/>
        </w:numPr>
      </w:pPr>
      <w:r>
        <w:rPr>
          <w:rStyle w:val="174"/>
          <w:lang w:val="ru-RU"/>
        </w:rPr>
        <w:t xml:space="preserve">БФ «Пацієнти України». </w:t>
      </w:r>
      <w:r>
        <w:rPr>
          <w:rStyle w:val="18"/>
          <w:rFonts w:eastAsiaTheme="majorEastAsia"/>
          <w:i w:val="0"/>
          <w:lang w:val="ru-RU"/>
        </w:rPr>
        <w:t>Звіт підсумків і досвіду реалізації ініціативи “Реабілітація травм війни в Україні”</w:t>
      </w:r>
      <w:r>
        <w:rPr>
          <w:rStyle w:val="174"/>
          <w:lang w:val="ru-RU"/>
        </w:rPr>
        <w:t>, листопад 2024 р. (64 с.) — про координацію, мультимодальну реабілітацію, цифровізацію та нормативну підтримку.</w:t>
      </w:r>
      <w:r>
        <w:rPr>
          <w:lang w:val="ru-RU"/>
        </w:rPr>
        <w:t xml:space="preserve"> </w:t>
      </w:r>
      <w:r>
        <w:fldChar w:fldCharType="begin"/>
      </w:r>
      <w:r>
        <w:instrText xml:space="preserve"> HYPERLINK "https://www.researchgate.net/publication/387763207_Zvit_pidsumkiv_i_dosvidu_realizacii_iniciativi_Reabilitacia_travm_vijni_v_Ukraini?utm_source=chatgpt.com" \t "_blank" </w:instrText>
      </w:r>
      <w:r>
        <w:fldChar w:fldCharType="separate"/>
      </w:r>
      <w:r>
        <w:rPr>
          <w:rStyle w:val="176"/>
          <w:u w:val="single"/>
        </w:rPr>
        <w:t>ResearchGate</w:t>
      </w:r>
      <w:r>
        <w:rPr>
          <w:rStyle w:val="176"/>
          <w:u w:val="single"/>
        </w:rPr>
        <w:fldChar w:fldCharType="end"/>
      </w:r>
    </w:p>
    <w:p w14:paraId="2F9C2066">
      <w:pPr>
        <w:pStyle w:val="34"/>
        <w:numPr>
          <w:ilvl w:val="0"/>
          <w:numId w:val="41"/>
        </w:numPr>
      </w:pPr>
      <w:r>
        <w:rPr>
          <w:rStyle w:val="18"/>
          <w:rFonts w:eastAsiaTheme="majorEastAsia"/>
          <w:i w:val="0"/>
        </w:rPr>
        <w:t>War Trauma Rehabilitation in Ukraine</w:t>
      </w:r>
      <w:r>
        <w:rPr>
          <w:rStyle w:val="174"/>
        </w:rPr>
        <w:t xml:space="preserve"> (ініціатива за підтримки Швейцарії): стратегія швидкого доступу до якісної реабілітації, навчання ІСР (ICF), впровадження реабілітаційного шляху на рівні регіонів.</w:t>
      </w:r>
      <w:r>
        <w:t xml:space="preserve"> </w:t>
      </w:r>
    </w:p>
    <w:p w14:paraId="1393C43F">
      <w:pPr>
        <w:pStyle w:val="34"/>
        <w:numPr>
          <w:ilvl w:val="0"/>
          <w:numId w:val="41"/>
        </w:numPr>
      </w:pPr>
      <w:r>
        <w:rPr>
          <w:rStyle w:val="174"/>
        </w:rPr>
        <w:t>Recovery Project (Фонд Pinchuk): мережа центрів для поранених військових, мультимодальні команди, інклюзивна інфраструктура, VR-технології.</w:t>
      </w:r>
      <w:r>
        <w:t xml:space="preserve"> </w:t>
      </w:r>
    </w:p>
    <w:p w14:paraId="26DC5A8A">
      <w:pPr>
        <w:pStyle w:val="34"/>
        <w:numPr>
          <w:ilvl w:val="0"/>
          <w:numId w:val="41"/>
        </w:numPr>
      </w:pPr>
      <w:r>
        <w:rPr>
          <w:rStyle w:val="174"/>
        </w:rPr>
        <w:t>Unbroken Center: мультидисциплінарний підхід, реконструктивна хірургія, протезування, психологічна реабілітація, ерготерапія, VR</w:t>
      </w:r>
      <w:r>
        <w:rPr>
          <w:rStyle w:val="174"/>
        </w:rPr>
        <w:noBreakHyphen/>
      </w:r>
      <w:r>
        <w:rPr>
          <w:rStyle w:val="174"/>
        </w:rPr>
        <w:t>терапія проти фантомного болю.</w:t>
      </w:r>
      <w:r>
        <w:t xml:space="preserve"> </w:t>
      </w:r>
    </w:p>
    <w:p w14:paraId="6E8A15B4">
      <w:pPr>
        <w:pStyle w:val="34"/>
        <w:numPr>
          <w:ilvl w:val="0"/>
          <w:numId w:val="41"/>
        </w:numPr>
      </w:pPr>
      <w:r>
        <w:rPr>
          <w:rStyle w:val="174"/>
        </w:rPr>
        <w:t>Superhumans Center: реконструктивна хірургія, протезування, реабілітація, психологічна підтримка; центри у Львові та Одесі.</w:t>
      </w:r>
      <w:r>
        <w:t xml:space="preserve"> </w:t>
      </w:r>
    </w:p>
    <w:p w14:paraId="426F95B9">
      <w:pPr>
        <w:pStyle w:val="34"/>
        <w:numPr>
          <w:ilvl w:val="0"/>
          <w:numId w:val="41"/>
        </w:numPr>
      </w:pPr>
      <w:r>
        <w:rPr>
          <w:rStyle w:val="174"/>
        </w:rPr>
        <w:t>Ukraine Prosthetic Assistance Project (Protez Hub): міжнародне навчання, сертифікація протезистів, перші кейси з mio-electric протезами.</w:t>
      </w:r>
      <w:r>
        <w:t xml:space="preserve"> </w:t>
      </w:r>
    </w:p>
    <w:p w14:paraId="4DCFB372">
      <w:pPr>
        <w:pStyle w:val="34"/>
        <w:numPr>
          <w:ilvl w:val="0"/>
          <w:numId w:val="41"/>
        </w:numPr>
      </w:pPr>
      <w:r>
        <w:rPr>
          <w:rStyle w:val="174"/>
          <w:lang w:val="ru-RU"/>
        </w:rPr>
        <w:t>Міністерство охорони здоров’я України: навчання понад 300 фахівців у мультимодальних реабілітаційних практиках воєнних травм.</w:t>
      </w:r>
      <w:r>
        <w:rPr>
          <w:lang w:val="ru-RU"/>
        </w:rPr>
        <w:t xml:space="preserve"> </w:t>
      </w:r>
      <w:r>
        <w:fldChar w:fldCharType="begin"/>
      </w:r>
      <w:r>
        <w:instrText xml:space="preserve"> HYPERLINK "https://moz.gov.ua/en/more-than-300-specialists-studied-best-practices-in-multidisciplinary-rehabilitation?utm_source=chatgpt.com" \t "_blank" </w:instrText>
      </w:r>
      <w:r>
        <w:fldChar w:fldCharType="separate"/>
      </w:r>
      <w:r>
        <w:rPr>
          <w:rStyle w:val="176"/>
          <w:u w:val="single"/>
        </w:rPr>
        <w:t>Міністерство охорони здоров'я України</w:t>
      </w:r>
      <w:r>
        <w:rPr>
          <w:rStyle w:val="176"/>
          <w:u w:val="single"/>
        </w:rPr>
        <w:fldChar w:fldCharType="end"/>
      </w:r>
    </w:p>
    <w:p w14:paraId="6496772B">
      <w:pPr>
        <w:pStyle w:val="3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3. Електронні інформаційні ресурси</w:t>
      </w:r>
    </w:p>
    <w:p w14:paraId="7B669E36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Recovery Project (Pinchuk Foundation)</w:t>
      </w:r>
      <w:r>
        <w:rPr>
          <w:rStyle w:val="174"/>
        </w:rPr>
        <w:t xml:space="preserve"> — сайт про мережу реабілітаційних центрів, методики, технології, локації.</w:t>
      </w:r>
      <w:r>
        <w:t xml:space="preserve"> </w:t>
      </w:r>
      <w:r>
        <w:fldChar w:fldCharType="begin"/>
      </w:r>
      <w:r>
        <w:instrText xml:space="preserve"> HYPERLINK "https://recoveryua.org/en/about?utm_source=chatgpt.com" \t "_blank" </w:instrText>
      </w:r>
      <w:r>
        <w:fldChar w:fldCharType="separate"/>
      </w:r>
      <w:r>
        <w:rPr>
          <w:rStyle w:val="176"/>
          <w:u w:val="single"/>
        </w:rPr>
        <w:t>recoveryua.org</w:t>
      </w:r>
      <w:r>
        <w:rPr>
          <w:rStyle w:val="176"/>
          <w:u w:val="single"/>
        </w:rPr>
        <w:fldChar w:fldCharType="end"/>
      </w:r>
    </w:p>
    <w:p w14:paraId="2AD0658B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War Trauma Rehabilitation in Ukraine Initiative</w:t>
      </w:r>
      <w:r>
        <w:rPr>
          <w:rStyle w:val="174"/>
        </w:rPr>
        <w:t xml:space="preserve"> — інформація про реабілітаційні шляхи, ІСР</w:t>
      </w:r>
      <w:r>
        <w:rPr>
          <w:rStyle w:val="174"/>
        </w:rPr>
        <w:noBreakHyphen/>
      </w:r>
      <w:r>
        <w:rPr>
          <w:rStyle w:val="174"/>
        </w:rPr>
        <w:t>навчання, регіональні моделі.</w:t>
      </w:r>
      <w:r>
        <w:t xml:space="preserve"> </w:t>
      </w:r>
      <w:r>
        <w:fldChar w:fldCharType="begin"/>
      </w:r>
      <w:r>
        <w:instrText xml:space="preserve"> HYPERLINK "https://rehabilitation.org.ua/en/bez-kategoriyi-en-rehab/?utm_source=chatgpt.com" \t "_blank" </w:instrText>
      </w:r>
      <w:r>
        <w:fldChar w:fldCharType="separate"/>
      </w:r>
      <w:r>
        <w:rPr>
          <w:rStyle w:val="176"/>
          <w:u w:val="single"/>
        </w:rPr>
        <w:t>Реабілітація травм війни в Україні</w:t>
      </w:r>
      <w:r>
        <w:rPr>
          <w:rStyle w:val="176"/>
          <w:u w:val="single"/>
        </w:rPr>
        <w:fldChar w:fldCharType="end"/>
      </w:r>
    </w:p>
    <w:p w14:paraId="17D45CF1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Unbroken Center</w:t>
      </w:r>
      <w:r>
        <w:rPr>
          <w:rStyle w:val="174"/>
        </w:rPr>
        <w:t xml:space="preserve"> — офіційний сайт із описом напрямків реабілітації, команди, методів.</w:t>
      </w:r>
      <w:r>
        <w:t xml:space="preserve"> </w:t>
      </w:r>
    </w:p>
    <w:p w14:paraId="48FE3C0D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Superhumans Center</w:t>
      </w:r>
      <w:r>
        <w:rPr>
          <w:rStyle w:val="174"/>
        </w:rPr>
        <w:t xml:space="preserve"> — сайт з описом послуг у сфері реконструктивної хірургії, протезування, реабілітації та планів на розширення.</w:t>
      </w:r>
      <w:r>
        <w:t xml:space="preserve"> </w:t>
      </w:r>
    </w:p>
    <w:p w14:paraId="5C52A8E5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Protez Hub (Ukraine Prosthetic Assistance Project)</w:t>
      </w:r>
      <w:r>
        <w:rPr>
          <w:rStyle w:val="174"/>
        </w:rPr>
        <w:t xml:space="preserve"> — опис програми, результатів, навчання спеціалістів.</w:t>
      </w:r>
      <w:r>
        <w:t xml:space="preserve"> </w:t>
      </w:r>
      <w:r>
        <w:fldChar w:fldCharType="begin"/>
      </w:r>
      <w:r>
        <w:instrText xml:space="preserve"> HYPERLINK "https://en.wikipedia.org/wiki/Ukraine_Prosthetic_Assistance_Project?utm_source=chatgpt.com" \t "_blank" </w:instrText>
      </w:r>
      <w:r>
        <w:fldChar w:fldCharType="separate"/>
      </w:r>
      <w:r>
        <w:rPr>
          <w:rStyle w:val="176"/>
          <w:u w:val="single"/>
        </w:rPr>
        <w:t>Вікіпедія</w:t>
      </w:r>
      <w:r>
        <w:rPr>
          <w:rStyle w:val="176"/>
          <w:u w:val="single"/>
        </w:rPr>
        <w:fldChar w:fldCharType="end"/>
      </w:r>
    </w:p>
    <w:p w14:paraId="6A2641CA">
      <w:pPr>
        <w:pStyle w:val="34"/>
        <w:numPr>
          <w:ilvl w:val="0"/>
          <w:numId w:val="42"/>
        </w:numPr>
      </w:pPr>
      <w:r>
        <w:rPr>
          <w:rStyle w:val="36"/>
          <w:b w:val="0"/>
        </w:rPr>
        <w:t>Звіт БФ «Пацієнти України»</w:t>
      </w:r>
      <w:r>
        <w:rPr>
          <w:rStyle w:val="174"/>
        </w:rPr>
        <w:t xml:space="preserve"> — PDF</w:t>
      </w:r>
      <w:r>
        <w:rPr>
          <w:rStyle w:val="174"/>
        </w:rPr>
        <w:noBreakHyphen/>
      </w:r>
      <w:r>
        <w:rPr>
          <w:rStyle w:val="174"/>
        </w:rPr>
        <w:t>документ із досвідом, потребами, координацією реабілітації</w:t>
      </w:r>
    </w:p>
    <w:p w14:paraId="35B8EAEC">
      <w:pPr>
        <w:pStyle w:val="168"/>
        <w:spacing w:before="0" w:after="0" w:line="240" w:lineRule="auto"/>
        <w:jc w:val="both"/>
        <w:rPr>
          <w:rFonts w:cs="Times New Roman"/>
          <w:color w:val="auto"/>
          <w:lang w:val="en-US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altName w:val="Helvetica Neue"/>
    <w:panose1 w:val="02040503050406030204"/>
    <w:charset w:val="CC"/>
    <w:family w:val="roman"/>
    <w:pitch w:val="default"/>
    <w:sig w:usb0="00000000" w:usb1="00000000" w:usb2="02000000" w:usb3="00000000" w:csb0="0000019F" w:csb1="00000000"/>
  </w:font>
  <w:font w:name="Cambri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ＭＳ 明朝">
    <w:altName w:val="Hiragino San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CC"/>
    <w:family w:val="swiss"/>
    <w:pitch w:val="default"/>
    <w:sig w:usb0="00000000" w:usb1="00000000" w:usb2="00000009" w:usb3="00000000" w:csb0="000001FF" w:csb1="00000000"/>
  </w:font>
  <w:font w:name="ＭＳ ゴシック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">
    <w:altName w:val="苹方-简"/>
    <w:panose1 w:val="02070309020205020404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Helvetica Neue">
    <w:panose1 w:val="02000503000000020004"/>
    <w:charset w:val="00"/>
    <w:family w:val="roman"/>
    <w:pitch w:val="default"/>
    <w:sig w:usb0="E50002FF" w:usb1="500079DB" w:usb2="00000010" w:usb3="00000000" w:csb0="00000000" w:csb1="00000000"/>
  </w:font>
  <w:font w:name="Courier New">
    <w:panose1 w:val="02070409020205090404"/>
    <w:charset w:val="CC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altName w:val="苹方-简"/>
    <w:panose1 w:val="020B0502040204020203"/>
    <w:charset w:val="00"/>
    <w:family w:val="swiss"/>
    <w:pitch w:val="default"/>
    <w:sig w:usb0="00000000" w:usb1="00000000" w:usb2="00040000" w:usb3="00000000" w:csb0="00000001" w:csb1="00000000"/>
  </w:font>
  <w:font w:name="ＭＳ 明朝">
    <w:altName w:val="Hiragino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Hiragino Sans GB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ＭＳ 明朝">
    <w:altName w:val="Hiragino Sans"/>
    <w:panose1 w:val="00000000000000000000"/>
    <w:charset w:val="80"/>
    <w:family w:val="roman"/>
    <w:pitch w:val="default"/>
    <w:sig w:usb0="00000000" w:usb1="0000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2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1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6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5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3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6">
    <w:nsid w:val="04846DAE"/>
    <w:multiLevelType w:val="multilevel"/>
    <w:tmpl w:val="04846DA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12404C4A"/>
    <w:multiLevelType w:val="multilevel"/>
    <w:tmpl w:val="12404C4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15F21779"/>
    <w:multiLevelType w:val="multilevel"/>
    <w:tmpl w:val="15F2177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16100DBF"/>
    <w:multiLevelType w:val="multilevel"/>
    <w:tmpl w:val="16100DB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>
    <w:nsid w:val="17247916"/>
    <w:multiLevelType w:val="multilevel"/>
    <w:tmpl w:val="172479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>
    <w:nsid w:val="197D02A2"/>
    <w:multiLevelType w:val="multilevel"/>
    <w:tmpl w:val="197D02A2"/>
    <w:lvl w:ilvl="0" w:tentative="0">
      <w:start w:val="1"/>
      <w:numFmt w:val="bullet"/>
      <w:lvlText w:val="❑"/>
      <w:lvlJc w:val="left"/>
      <w:pPr>
        <w:ind w:left="426" w:hanging="426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entative="0">
      <w:start w:val="1"/>
      <w:numFmt w:val="bullet"/>
      <w:lvlText w:val="□"/>
      <w:lvlJc w:val="left"/>
      <w:pPr>
        <w:tabs>
          <w:tab w:val="left" w:pos="426"/>
        </w:tabs>
        <w:ind w:left="348" w:hanging="348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bullet"/>
      <w:lvlText w:val="▪"/>
      <w:lvlJc w:val="left"/>
      <w:pPr>
        <w:tabs>
          <w:tab w:val="left" w:pos="426"/>
        </w:tabs>
        <w:ind w:left="1056" w:hanging="336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bullet"/>
      <w:lvlText w:val="•"/>
      <w:lvlJc w:val="left"/>
      <w:pPr>
        <w:tabs>
          <w:tab w:val="left" w:pos="426"/>
        </w:tabs>
        <w:ind w:left="1764" w:hanging="324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bullet"/>
      <w:lvlText w:val="□"/>
      <w:lvlJc w:val="left"/>
      <w:pPr>
        <w:tabs>
          <w:tab w:val="left" w:pos="426"/>
        </w:tabs>
        <w:ind w:left="2472" w:hanging="312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bullet"/>
      <w:lvlText w:val="▪"/>
      <w:lvlJc w:val="left"/>
      <w:pPr>
        <w:tabs>
          <w:tab w:val="left" w:pos="426"/>
        </w:tabs>
        <w:ind w:left="3180" w:hanging="300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bullet"/>
      <w:lvlText w:val="•"/>
      <w:lvlJc w:val="left"/>
      <w:pPr>
        <w:tabs>
          <w:tab w:val="left" w:pos="426"/>
        </w:tabs>
        <w:ind w:left="3888" w:hanging="288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bullet"/>
      <w:lvlText w:val="□"/>
      <w:lvlJc w:val="left"/>
      <w:pPr>
        <w:tabs>
          <w:tab w:val="left" w:pos="426"/>
        </w:tabs>
        <w:ind w:left="4596" w:hanging="276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bullet"/>
      <w:lvlText w:val="▪"/>
      <w:lvlJc w:val="left"/>
      <w:pPr>
        <w:tabs>
          <w:tab w:val="left" w:pos="426"/>
        </w:tabs>
        <w:ind w:left="5304" w:hanging="264"/>
      </w:pPr>
      <w:rPr>
        <w:rFonts w:ascii="Arial Unicode MS" w:hAnsi="Arial Unicode MS" w:eastAsia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nsid w:val="1A893CF2"/>
    <w:multiLevelType w:val="multilevel"/>
    <w:tmpl w:val="1A893CF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1C4946D1"/>
    <w:multiLevelType w:val="multilevel"/>
    <w:tmpl w:val="1C4946D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>
    <w:nsid w:val="22CE5FE1"/>
    <w:multiLevelType w:val="multilevel"/>
    <w:tmpl w:val="22CE5FE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274B19F5"/>
    <w:multiLevelType w:val="multilevel"/>
    <w:tmpl w:val="274B19F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>
    <w:nsid w:val="29821059"/>
    <w:multiLevelType w:val="multilevel"/>
    <w:tmpl w:val="2982105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2EE66F7D"/>
    <w:multiLevelType w:val="multilevel"/>
    <w:tmpl w:val="2EE66F7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>
    <w:nsid w:val="34391DCE"/>
    <w:multiLevelType w:val="multilevel"/>
    <w:tmpl w:val="34391DC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>
    <w:nsid w:val="34585485"/>
    <w:multiLevelType w:val="multilevel"/>
    <w:tmpl w:val="3458548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>
    <w:nsid w:val="34E27C33"/>
    <w:multiLevelType w:val="multilevel"/>
    <w:tmpl w:val="34E27C3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374E608D"/>
    <w:multiLevelType w:val="multilevel"/>
    <w:tmpl w:val="374E60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>
    <w:nsid w:val="438C07B8"/>
    <w:multiLevelType w:val="multilevel"/>
    <w:tmpl w:val="438C07B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>
    <w:nsid w:val="460F68C7"/>
    <w:multiLevelType w:val="multilevel"/>
    <w:tmpl w:val="460F68C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4">
    <w:nsid w:val="46BD107B"/>
    <w:multiLevelType w:val="multilevel"/>
    <w:tmpl w:val="46BD107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5">
    <w:nsid w:val="47280DC1"/>
    <w:multiLevelType w:val="multilevel"/>
    <w:tmpl w:val="47280DC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>
    <w:nsid w:val="4A810BE3"/>
    <w:multiLevelType w:val="multilevel"/>
    <w:tmpl w:val="4A810BE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>
    <w:nsid w:val="4B8E5D76"/>
    <w:multiLevelType w:val="multilevel"/>
    <w:tmpl w:val="4B8E5D7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>
    <w:nsid w:val="4DF45A51"/>
    <w:multiLevelType w:val="multilevel"/>
    <w:tmpl w:val="4DF45A5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9">
    <w:nsid w:val="51097AFF"/>
    <w:multiLevelType w:val="multilevel"/>
    <w:tmpl w:val="51097A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0">
    <w:nsid w:val="55BF3BEB"/>
    <w:multiLevelType w:val="multilevel"/>
    <w:tmpl w:val="55BF3BE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1">
    <w:nsid w:val="564F4FA3"/>
    <w:multiLevelType w:val="multilevel"/>
    <w:tmpl w:val="564F4FA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2">
    <w:nsid w:val="5FCB36DD"/>
    <w:multiLevelType w:val="multilevel"/>
    <w:tmpl w:val="5FCB36D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>
    <w:nsid w:val="697D26C3"/>
    <w:multiLevelType w:val="multilevel"/>
    <w:tmpl w:val="697D26C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>
    <w:nsid w:val="6B38145A"/>
    <w:multiLevelType w:val="multilevel"/>
    <w:tmpl w:val="6B38145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5">
    <w:nsid w:val="6E993C8D"/>
    <w:multiLevelType w:val="multilevel"/>
    <w:tmpl w:val="6E993C8D"/>
    <w:lvl w:ilvl="0" w:tentative="0">
      <w:start w:val="1"/>
      <w:numFmt w:val="bullet"/>
      <w:lvlText w:val="-"/>
      <w:lvlJc w:val="left"/>
      <w:pPr>
        <w:tabs>
          <w:tab w:val="left" w:pos="0"/>
        </w:tabs>
        <w:ind w:left="1211" w:hanging="360"/>
      </w:pPr>
      <w:rPr>
        <w:rFonts w:hint="default" w:ascii="Times New Roman" w:hAnsi="Times New Roman" w:cs="Times New Roman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193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2651" w:hanging="36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371" w:hanging="360"/>
      </w:pPr>
      <w:rPr>
        <w:rFonts w:hint="default"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09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4811" w:hanging="36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5531" w:hanging="360"/>
      </w:pPr>
      <w:rPr>
        <w:rFonts w:hint="default"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25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6971" w:hanging="360"/>
      </w:pPr>
      <w:rPr>
        <w:rFonts w:hint="default" w:ascii="Wingdings" w:hAnsi="Wingdings" w:cs="Wingdings"/>
      </w:rPr>
    </w:lvl>
  </w:abstractNum>
  <w:abstractNum w:abstractNumId="36">
    <w:nsid w:val="7012231F"/>
    <w:multiLevelType w:val="multilevel"/>
    <w:tmpl w:val="7012231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7">
    <w:nsid w:val="70605266"/>
    <w:multiLevelType w:val="multilevel"/>
    <w:tmpl w:val="7060526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8">
    <w:nsid w:val="71551924"/>
    <w:multiLevelType w:val="multilevel"/>
    <w:tmpl w:val="715519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>
    <w:nsid w:val="78923E0C"/>
    <w:multiLevelType w:val="multilevel"/>
    <w:tmpl w:val="78923E0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0">
    <w:nsid w:val="7D643F94"/>
    <w:multiLevelType w:val="multilevel"/>
    <w:tmpl w:val="7D643F9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1">
    <w:nsid w:val="7F1927A3"/>
    <w:multiLevelType w:val="multilevel"/>
    <w:tmpl w:val="7F1927A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5"/>
  </w:num>
  <w:num w:numId="8">
    <w:abstractNumId w:val="11"/>
  </w:num>
  <w:num w:numId="9">
    <w:abstractNumId w:val="34"/>
  </w:num>
  <w:num w:numId="10">
    <w:abstractNumId w:val="26"/>
  </w:num>
  <w:num w:numId="11">
    <w:abstractNumId w:val="24"/>
  </w:num>
  <w:num w:numId="12">
    <w:abstractNumId w:val="37"/>
  </w:num>
  <w:num w:numId="13">
    <w:abstractNumId w:val="39"/>
  </w:num>
  <w:num w:numId="14">
    <w:abstractNumId w:val="25"/>
  </w:num>
  <w:num w:numId="15">
    <w:abstractNumId w:val="30"/>
  </w:num>
  <w:num w:numId="16">
    <w:abstractNumId w:val="19"/>
  </w:num>
  <w:num w:numId="17">
    <w:abstractNumId w:val="16"/>
  </w:num>
  <w:num w:numId="18">
    <w:abstractNumId w:val="31"/>
  </w:num>
  <w:num w:numId="19">
    <w:abstractNumId w:val="9"/>
  </w:num>
  <w:num w:numId="20">
    <w:abstractNumId w:val="28"/>
  </w:num>
  <w:num w:numId="21">
    <w:abstractNumId w:val="41"/>
  </w:num>
  <w:num w:numId="22">
    <w:abstractNumId w:val="13"/>
  </w:num>
  <w:num w:numId="23">
    <w:abstractNumId w:val="29"/>
  </w:num>
  <w:num w:numId="24">
    <w:abstractNumId w:val="18"/>
  </w:num>
  <w:num w:numId="25">
    <w:abstractNumId w:val="14"/>
  </w:num>
  <w:num w:numId="26">
    <w:abstractNumId w:val="8"/>
  </w:num>
  <w:num w:numId="27">
    <w:abstractNumId w:val="23"/>
  </w:num>
  <w:num w:numId="28">
    <w:abstractNumId w:val="27"/>
  </w:num>
  <w:num w:numId="29">
    <w:abstractNumId w:val="6"/>
  </w:num>
  <w:num w:numId="30">
    <w:abstractNumId w:val="12"/>
  </w:num>
  <w:num w:numId="31">
    <w:abstractNumId w:val="32"/>
  </w:num>
  <w:num w:numId="32">
    <w:abstractNumId w:val="21"/>
  </w:num>
  <w:num w:numId="33">
    <w:abstractNumId w:val="10"/>
  </w:num>
  <w:num w:numId="34">
    <w:abstractNumId w:val="40"/>
  </w:num>
  <w:num w:numId="35">
    <w:abstractNumId w:val="33"/>
  </w:num>
  <w:num w:numId="36">
    <w:abstractNumId w:val="22"/>
  </w:num>
  <w:num w:numId="37">
    <w:abstractNumId w:val="17"/>
  </w:num>
  <w:num w:numId="38">
    <w:abstractNumId w:val="38"/>
  </w:num>
  <w:num w:numId="39">
    <w:abstractNumId w:val="7"/>
  </w:num>
  <w:num w:numId="40">
    <w:abstractNumId w:val="36"/>
  </w:num>
  <w:num w:numId="41">
    <w:abstractNumId w:val="20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A77B2"/>
    <w:rsid w:val="002027B3"/>
    <w:rsid w:val="00240531"/>
    <w:rsid w:val="002500DE"/>
    <w:rsid w:val="00292C63"/>
    <w:rsid w:val="0029639D"/>
    <w:rsid w:val="003200C1"/>
    <w:rsid w:val="00326F90"/>
    <w:rsid w:val="00360B0F"/>
    <w:rsid w:val="00457A7C"/>
    <w:rsid w:val="005C1C2F"/>
    <w:rsid w:val="006C3DE8"/>
    <w:rsid w:val="006D6CED"/>
    <w:rsid w:val="00836A35"/>
    <w:rsid w:val="00840DDB"/>
    <w:rsid w:val="00894C1B"/>
    <w:rsid w:val="008A1D03"/>
    <w:rsid w:val="00904E94"/>
    <w:rsid w:val="0091435B"/>
    <w:rsid w:val="0094663D"/>
    <w:rsid w:val="00A83085"/>
    <w:rsid w:val="00AA1D8D"/>
    <w:rsid w:val="00AD7D00"/>
    <w:rsid w:val="00B47730"/>
    <w:rsid w:val="00B7265A"/>
    <w:rsid w:val="00B8381C"/>
    <w:rsid w:val="00BE1D98"/>
    <w:rsid w:val="00CB0664"/>
    <w:rsid w:val="00CD6E6B"/>
    <w:rsid w:val="00D0661E"/>
    <w:rsid w:val="00D255A4"/>
    <w:rsid w:val="00D90000"/>
    <w:rsid w:val="00DB18A1"/>
    <w:rsid w:val="00F72F48"/>
    <w:rsid w:val="00FC693F"/>
    <w:rsid w:val="7BBB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Times New Roman" w:hAnsi="Times New Roman" w:eastAsiaTheme="minorEastAsia" w:cstheme="minorBidi"/>
      <w:sz w:val="28"/>
      <w:szCs w:val="22"/>
      <w:lang w:val="en-US" w:eastAsia="en-US" w:bidi="ar-SA"/>
    </w:rPr>
  </w:style>
  <w:style w:type="paragraph" w:styleId="2">
    <w:name w:val="heading 1"/>
    <w:basedOn w:val="1"/>
    <w:next w:val="1"/>
    <w:link w:val="14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Cs w:val="28"/>
    </w:rPr>
  </w:style>
  <w:style w:type="paragraph" w:styleId="3">
    <w:name w:val="heading 2"/>
    <w:basedOn w:val="1"/>
    <w:next w:val="1"/>
    <w:link w:val="142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7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8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7"/>
    <w:unhideWhenUsed/>
    <w:uiPriority w:val="99"/>
    <w:pPr>
      <w:spacing w:after="120"/>
    </w:pPr>
  </w:style>
  <w:style w:type="paragraph" w:styleId="14">
    <w:name w:val="Body Text 2"/>
    <w:basedOn w:val="1"/>
    <w:link w:val="148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9"/>
    <w:unhideWhenUsed/>
    <w:uiPriority w:val="99"/>
    <w:pPr>
      <w:spacing w:after="120"/>
    </w:pPr>
    <w:rPr>
      <w:sz w:val="16"/>
      <w:szCs w:val="16"/>
    </w:rPr>
  </w:style>
  <w:style w:type="paragraph" w:styleId="16">
    <w:name w:val="Body Text Indent"/>
    <w:basedOn w:val="1"/>
    <w:link w:val="167"/>
    <w:semiHidden/>
    <w:unhideWhenUsed/>
    <w:uiPriority w:val="99"/>
    <w:pPr>
      <w:spacing w:after="120"/>
      <w:ind w:left="283"/>
    </w:pPr>
  </w:style>
  <w:style w:type="paragraph" w:styleId="1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8">
    <w:name w:val="Emphasis"/>
    <w:basedOn w:val="11"/>
    <w:qFormat/>
    <w:uiPriority w:val="20"/>
    <w:rPr>
      <w:i/>
      <w:iCs/>
    </w:rPr>
  </w:style>
  <w:style w:type="paragraph" w:styleId="19">
    <w:name w:val="footer"/>
    <w:basedOn w:val="1"/>
    <w:link w:val="13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header"/>
    <w:basedOn w:val="1"/>
    <w:link w:val="1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1">
    <w:name w:val="List"/>
    <w:basedOn w:val="1"/>
    <w:unhideWhenUsed/>
    <w:uiPriority w:val="99"/>
    <w:pPr>
      <w:ind w:left="360" w:hanging="360"/>
      <w:contextualSpacing/>
    </w:pPr>
  </w:style>
  <w:style w:type="paragraph" w:styleId="22">
    <w:name w:val="List 2"/>
    <w:basedOn w:val="1"/>
    <w:unhideWhenUsed/>
    <w:uiPriority w:val="99"/>
    <w:pPr>
      <w:ind w:left="720" w:hanging="360"/>
      <w:contextualSpacing/>
    </w:pPr>
  </w:style>
  <w:style w:type="paragraph" w:styleId="23">
    <w:name w:val="List 3"/>
    <w:basedOn w:val="1"/>
    <w:unhideWhenUsed/>
    <w:uiPriority w:val="99"/>
    <w:pPr>
      <w:ind w:left="1080" w:hanging="360"/>
      <w:contextualSpacing/>
    </w:pPr>
  </w:style>
  <w:style w:type="paragraph" w:styleId="24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5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6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7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8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9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0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1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2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3">
    <w:name w:val="macro"/>
    <w:link w:val="150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34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35">
    <w:name w:val="page number"/>
    <w:uiPriority w:val="0"/>
  </w:style>
  <w:style w:type="character" w:styleId="36">
    <w:name w:val="Strong"/>
    <w:basedOn w:val="11"/>
    <w:qFormat/>
    <w:uiPriority w:val="22"/>
    <w:rPr>
      <w:b/>
      <w:bCs/>
    </w:rPr>
  </w:style>
  <w:style w:type="paragraph" w:styleId="37">
    <w:name w:val="Subtitle"/>
    <w:basedOn w:val="1"/>
    <w:next w:val="1"/>
    <w:link w:val="14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8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39">
    <w:name w:val="Title"/>
    <w:basedOn w:val="1"/>
    <w:next w:val="1"/>
    <w:link w:val="144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40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41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42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3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4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5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6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7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8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9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50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51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2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3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4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5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6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7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8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9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60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61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6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7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8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3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4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5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6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7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8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9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80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81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82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7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8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9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90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91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92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3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4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5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6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1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2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3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4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5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6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7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8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9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10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12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3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7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1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2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3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4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5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6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7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8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9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0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31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32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3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4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5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6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7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8">
    <w:name w:val="Верхній колонтитул Знак"/>
    <w:basedOn w:val="11"/>
    <w:link w:val="20"/>
    <w:uiPriority w:val="99"/>
  </w:style>
  <w:style w:type="character" w:customStyle="1" w:styleId="139">
    <w:name w:val="Нижній колонтитул Знак"/>
    <w:basedOn w:val="11"/>
    <w:link w:val="19"/>
    <w:uiPriority w:val="99"/>
  </w:style>
  <w:style w:type="paragraph" w:styleId="140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41">
    <w:name w:val="Заголовок 1 Знак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2">
    <w:name w:val="Заголовок 2 Знак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3">
    <w:name w:val="Заголовок 3 Знак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4">
    <w:name w:val="Назва Знак"/>
    <w:basedOn w:val="11"/>
    <w:link w:val="39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5">
    <w:name w:val="Підзаголовок Знак"/>
    <w:basedOn w:val="11"/>
    <w:link w:val="37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6">
    <w:name w:val="List Paragraph"/>
    <w:basedOn w:val="1"/>
    <w:qFormat/>
    <w:uiPriority w:val="34"/>
    <w:pPr>
      <w:ind w:left="720"/>
      <w:contextualSpacing/>
    </w:pPr>
  </w:style>
  <w:style w:type="character" w:customStyle="1" w:styleId="147">
    <w:name w:val="Основний текст Знак"/>
    <w:basedOn w:val="11"/>
    <w:link w:val="13"/>
    <w:uiPriority w:val="99"/>
  </w:style>
  <w:style w:type="character" w:customStyle="1" w:styleId="148">
    <w:name w:val="Основний текст 2 Знак"/>
    <w:basedOn w:val="11"/>
    <w:link w:val="14"/>
    <w:uiPriority w:val="99"/>
  </w:style>
  <w:style w:type="character" w:customStyle="1" w:styleId="149">
    <w:name w:val="Основний текст 3 Знак"/>
    <w:basedOn w:val="11"/>
    <w:link w:val="15"/>
    <w:uiPriority w:val="99"/>
    <w:rPr>
      <w:sz w:val="16"/>
      <w:szCs w:val="16"/>
    </w:rPr>
  </w:style>
  <w:style w:type="character" w:customStyle="1" w:styleId="150">
    <w:name w:val="Текст макросу Знак"/>
    <w:basedOn w:val="11"/>
    <w:link w:val="33"/>
    <w:uiPriority w:val="99"/>
    <w:rPr>
      <w:rFonts w:ascii="Courier" w:hAnsi="Courier"/>
      <w:sz w:val="20"/>
      <w:szCs w:val="20"/>
    </w:rPr>
  </w:style>
  <w:style w:type="paragraph" w:styleId="151">
    <w:name w:val="Quote"/>
    <w:basedOn w:val="1"/>
    <w:next w:val="1"/>
    <w:link w:val="15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2">
    <w:name w:val="Цитата Знак"/>
    <w:basedOn w:val="11"/>
    <w:link w:val="151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3">
    <w:name w:val="Заголовок 4 Знак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4">
    <w:name w:val="Заголовок 5 Знак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5">
    <w:name w:val="Заголовок 6 Знак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6">
    <w:name w:val="Заголовок 7 Знак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7">
    <w:name w:val="Заголовок 8 Знак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8">
    <w:name w:val="Заголовок 9 Знак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9">
    <w:name w:val="Intense Quote"/>
    <w:basedOn w:val="1"/>
    <w:next w:val="1"/>
    <w:link w:val="160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Насичена цитата Знак"/>
    <w:basedOn w:val="11"/>
    <w:link w:val="159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2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3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4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5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6">
    <w:name w:val="TOC Heading"/>
    <w:basedOn w:val="2"/>
    <w:next w:val="1"/>
    <w:semiHidden/>
    <w:unhideWhenUsed/>
    <w:qFormat/>
    <w:uiPriority w:val="39"/>
    <w:pPr>
      <w:outlineLvl w:val="9"/>
    </w:pPr>
  </w:style>
  <w:style w:type="character" w:customStyle="1" w:styleId="167">
    <w:name w:val="Основний текст з відступом Знак"/>
    <w:basedOn w:val="11"/>
    <w:link w:val="16"/>
    <w:semiHidden/>
    <w:uiPriority w:val="99"/>
    <w:rPr>
      <w:rFonts w:ascii="Times New Roman" w:hAnsi="Times New Roman"/>
      <w:sz w:val="28"/>
    </w:rPr>
  </w:style>
  <w:style w:type="paragraph" w:customStyle="1" w:styleId="168">
    <w:name w:val="Обычный (веб)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after="100" w:line="276" w:lineRule="auto"/>
    </w:pPr>
    <w:rPr>
      <w:rFonts w:ascii="Times New Roman" w:hAnsi="Times New Roman" w:eastAsia="Arial Unicode MS" w:cs="Arial Unicode MS"/>
      <w:color w:val="000000"/>
      <w:sz w:val="24"/>
      <w:szCs w:val="24"/>
      <w:u w:color="000000"/>
      <w:lang w:val="ru-RU" w:eastAsia="ru-RU" w:bidi="ar-SA"/>
    </w:rPr>
  </w:style>
  <w:style w:type="paragraph" w:customStyle="1" w:styleId="169">
    <w:name w:val="Основной текст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</w:pPr>
    <w:rPr>
      <w:rFonts w:ascii="Helvetica Neue" w:hAnsi="Helvetica Neue" w:eastAsia="Arial Unicode MS" w:cs="Arial Unicode MS"/>
      <w:color w:val="000000"/>
      <w:sz w:val="22"/>
      <w:szCs w:val="22"/>
      <w:u w:color="000000"/>
      <w:lang w:val="ru-RU" w:eastAsia="ru-RU" w:bidi="ar-SA"/>
    </w:rPr>
  </w:style>
  <w:style w:type="paragraph" w:customStyle="1" w:styleId="170">
    <w:name w:val="По умолчанию A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60" w:after="200" w:line="288" w:lineRule="auto"/>
    </w:pPr>
    <w:rPr>
      <w:rFonts w:ascii="Helvetica Neue" w:hAnsi="Helvetica Neue" w:eastAsia="Arial Unicode MS" w:cs="Arial Unicode MS"/>
      <w:color w:val="000000"/>
      <w:sz w:val="24"/>
      <w:szCs w:val="24"/>
      <w:u w:color="000000"/>
      <w:lang w:val="ru-RU" w:eastAsia="ru-RU" w:bidi="ar-SA"/>
    </w:rPr>
  </w:style>
  <w:style w:type="character" w:customStyle="1" w:styleId="171">
    <w:name w:val="Нет"/>
    <w:uiPriority w:val="0"/>
  </w:style>
  <w:style w:type="character" w:customStyle="1" w:styleId="172">
    <w:name w:val="Hyperlink.0"/>
    <w:basedOn w:val="171"/>
    <w:uiPriority w:val="0"/>
    <w:rPr>
      <w:color w:val="000000"/>
      <w:spacing w:val="0"/>
      <w:kern w:val="0"/>
      <w:position w:val="0"/>
      <w:u w:val="none" w:color="000000"/>
      <w:vertAlign w:val="baseline"/>
      <w:lang w:val="en-US"/>
    </w:rPr>
  </w:style>
  <w:style w:type="character" w:customStyle="1" w:styleId="173">
    <w:name w:val="Hyperlink.1"/>
    <w:basedOn w:val="171"/>
    <w:uiPriority w:val="0"/>
    <w:rPr>
      <w:color w:val="000000"/>
      <w:spacing w:val="0"/>
      <w:kern w:val="0"/>
      <w:position w:val="0"/>
      <w:u w:val="none" w:color="000000"/>
      <w:vertAlign w:val="baseline"/>
      <w:lang w:val="de-DE"/>
    </w:rPr>
  </w:style>
  <w:style w:type="character" w:customStyle="1" w:styleId="174">
    <w:name w:val="relative"/>
    <w:basedOn w:val="11"/>
    <w:uiPriority w:val="0"/>
  </w:style>
  <w:style w:type="character" w:customStyle="1" w:styleId="175">
    <w:name w:val="ms-1"/>
    <w:basedOn w:val="11"/>
    <w:uiPriority w:val="0"/>
  </w:style>
  <w:style w:type="character" w:customStyle="1" w:styleId="176">
    <w:name w:val="max-w-full"/>
    <w:basedOn w:val="11"/>
    <w:uiPriority w:val="0"/>
  </w:style>
  <w:style w:type="character" w:customStyle="1" w:styleId="177">
    <w:name w:val="-me-1"/>
    <w:basedOn w:val="11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9055273-BF45-4E64-AC38-7087042E58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3235</Words>
  <Characters>18440</Characters>
  <Lines>153</Lines>
  <Paragraphs>43</Paragraphs>
  <TotalTime>1</TotalTime>
  <ScaleCrop>false</ScaleCrop>
  <LinksUpToDate>false</LinksUpToDate>
  <CharactersWithSpaces>21632</CharactersWithSpaces>
  <Application>WPS Office_12.1.21937.21937_F1E327BC-269C-435d-A152-05C5408002CA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2025-08-28T15:45:00Z</dcterms:created>
  <dc:creator>python-docx</dc:creator>
  <dc:description>generated by python-docx</dc:description>
  <cp:lastModifiedBy>Evgen Kvasnevskyi</cp:lastModifiedBy>
  <dcterms:modified xsi:type="dcterms:W3CDTF">2025-09-04T22:56:56Z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1033-12.1.21937.21937</vt:lpwstr>
  </property>
  <property fmtid="{D5CDD505-2E9C-101B-9397-08002B2CF9AE}" pid="3" name="ICV">
    <vt:lpwstr>D0A1A4C3E706B5B208EFB96823E718D9_42</vt:lpwstr>
  </property>
</Properties>
</file>