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ListParagraph"/>
        <w:numPr>
          <w:ilvl w:val="0"/>
          <w:numId w:val="24"/>
        </w:numPr>
        <w:ind w:left="0" w:hanging="0"/>
        <w:jc w:val="center"/>
        <w:rPr>
          <w:sz w:val="24"/>
          <w:szCs w:val="24"/>
          <w:lang w:val="uk-UA"/>
        </w:rPr>
      </w:pPr>
      <w:bookmarkStart w:id="0" w:name="_GoBack"/>
      <w:bookmarkEnd w:id="0"/>
      <w:r>
        <w:rPr>
          <w:b/>
          <w:bCs/>
          <w:color w:val="0070C0"/>
          <w:sz w:val="24"/>
          <w:szCs w:val="24"/>
          <w:lang w:val="uk-UA"/>
        </w:rPr>
        <w:t>Силабус практики</w:t>
      </w:r>
    </w:p>
    <w:p>
      <w:pPr>
        <w:pStyle w:val="Standard"/>
        <w:numPr>
          <w:ilvl w:val="0"/>
          <w:numId w:val="25"/>
        </w:numPr>
        <w:tabs>
          <w:tab w:val="clear" w:pos="708"/>
          <w:tab w:val="left" w:pos="142" w:leader="none"/>
        </w:tabs>
        <w:spacing w:lineRule="auto" w:line="240" w:before="0" w:after="0"/>
        <w:ind w:left="0" w:hanging="0"/>
        <w:jc w:val="center"/>
        <w:rPr>
          <w:sz w:val="24"/>
          <w:szCs w:val="24"/>
          <w:lang w:val="uk-UA"/>
        </w:rPr>
      </w:pPr>
      <w:r>
        <w:rPr>
          <w:b/>
          <w:bCs/>
          <w:color w:val="0070C0"/>
          <w:sz w:val="24"/>
          <w:szCs w:val="24"/>
          <w:lang w:val="uk-UA"/>
        </w:rPr>
        <w:t>«Техніка медичних маніпуляцій. Симуляційне навчання»</w:t>
      </w:r>
    </w:p>
    <w:p>
      <w:pPr>
        <w:pStyle w:val="Standard"/>
        <w:numPr>
          <w:ilvl w:val="0"/>
          <w:numId w:val="26"/>
        </w:numPr>
        <w:tabs>
          <w:tab w:val="clear" w:pos="708"/>
          <w:tab w:val="left" w:pos="142" w:leader="none"/>
        </w:tabs>
        <w:spacing w:lineRule="auto" w:line="240" w:before="0" w:after="0"/>
        <w:ind w:left="0" w:hanging="0"/>
        <w:jc w:val="center"/>
        <w:rPr>
          <w:rFonts w:ascii="Times New Roman" w:hAnsi="Times New Roman"/>
          <w:sz w:val="24"/>
          <w:szCs w:val="24"/>
          <w:lang w:val="uk-UA"/>
        </w:rPr>
      </w:pPr>
      <w:r>
        <w:rPr>
          <w:sz w:val="24"/>
          <w:szCs w:val="24"/>
          <w:lang w:val="uk-UA"/>
        </w:rPr>
      </w:r>
    </w:p>
    <w:tbl>
      <w:tblPr>
        <w:tblW w:w="4950" w:type="pct"/>
        <w:jc w:val="left"/>
        <w:tblInd w:w="-100" w:type="dxa"/>
        <w:tblCellMar>
          <w:top w:w="100" w:type="dxa"/>
          <w:left w:w="100" w:type="dxa"/>
          <w:bottom w:w="100" w:type="dxa"/>
          <w:right w:w="100" w:type="dxa"/>
        </w:tblCellMar>
        <w:tblLook w:val="04a0" w:noHBand="0" w:noVBand="1" w:firstColumn="1" w:lastRow="0" w:lastColumn="0" w:firstRow="1"/>
      </w:tblPr>
      <w:tblGrid>
        <w:gridCol w:w="2131"/>
        <w:gridCol w:w="7408"/>
      </w:tblGrid>
      <w:tr>
        <w:trPr>
          <w:trHeight w:val="659" w:hRule="atLeast"/>
        </w:trPr>
        <w:tc>
          <w:tcPr>
            <w:tcW w:w="2131" w:type="dxa"/>
            <w:tcBorders>
              <w:top w:val="single" w:sz="4" w:space="0" w:color="666633"/>
              <w:left w:val="single" w:sz="4" w:space="0" w:color="666633"/>
              <w:bottom w:val="single" w:sz="4" w:space="0" w:color="666633"/>
              <w:right w:val="single" w:sz="4" w:space="0" w:color="666633"/>
            </w:tcBorders>
            <w:vAlign w:val="center"/>
          </w:tcPr>
          <w:p>
            <w:pPr>
              <w:pStyle w:val="Standard"/>
              <w:jc w:val="center"/>
              <w:rPr>
                <w:sz w:val="24"/>
                <w:szCs w:val="24"/>
                <w:lang w:val="uk-UA"/>
              </w:rPr>
            </w:pPr>
            <w:r>
              <w:rPr>
                <w:b/>
                <w:bCs/>
                <w:color w:val="0070C0"/>
                <w:sz w:val="24"/>
                <w:szCs w:val="24"/>
                <w:lang w:val="uk-UA"/>
              </w:rPr>
              <w:t>Обсяг навчальної дисципліни</w:t>
            </w:r>
          </w:p>
        </w:tc>
        <w:tc>
          <w:tcPr>
            <w:tcW w:w="7408" w:type="dxa"/>
            <w:tcBorders>
              <w:top w:val="single" w:sz="4" w:space="0" w:color="666633"/>
              <w:left w:val="single" w:sz="4" w:space="0" w:color="666633"/>
              <w:bottom w:val="single" w:sz="4" w:space="0" w:color="666633"/>
              <w:right w:val="single" w:sz="4" w:space="0" w:color="666633"/>
            </w:tcBorders>
            <w:tcMar>
              <w:left w:w="120" w:type="dxa"/>
              <w:right w:w="120" w:type="dxa"/>
            </w:tcMar>
          </w:tcPr>
          <w:p>
            <w:pPr>
              <w:pStyle w:val="Standard"/>
              <w:widowControl w:val="false"/>
              <w:spacing w:lineRule="auto" w:line="240" w:before="0" w:after="0"/>
              <w:jc w:val="both"/>
              <w:rPr>
                <w:sz w:val="24"/>
                <w:szCs w:val="24"/>
                <w:lang w:val="uk-UA"/>
              </w:rPr>
            </w:pPr>
            <w:r>
              <w:rPr>
                <w:bCs/>
                <w:sz w:val="24"/>
                <w:szCs w:val="24"/>
                <w:lang w:val="uk-UA"/>
              </w:rPr>
              <w:t>Загальна кількість годин на практику: 120 годин, 4 кредити ЄКТС</w:t>
            </w:r>
          </w:p>
          <w:p>
            <w:pPr>
              <w:pStyle w:val="Standard"/>
              <w:widowControl w:val="false"/>
              <w:spacing w:lineRule="auto" w:line="240" w:before="0" w:after="0"/>
              <w:jc w:val="both"/>
              <w:rPr>
                <w:sz w:val="24"/>
                <w:szCs w:val="24"/>
                <w:lang w:val="uk-UA"/>
              </w:rPr>
            </w:pPr>
            <w:r>
              <w:rPr>
                <w:bCs/>
                <w:sz w:val="24"/>
                <w:szCs w:val="24"/>
                <w:lang w:val="uk-UA"/>
              </w:rPr>
              <w:t>Семестр: II</w:t>
            </w:r>
          </w:p>
          <w:p>
            <w:pPr>
              <w:pStyle w:val="Standard"/>
              <w:widowControl w:val="false"/>
              <w:spacing w:lineRule="auto" w:line="240" w:before="0" w:after="0"/>
              <w:jc w:val="both"/>
              <w:rPr>
                <w:sz w:val="24"/>
                <w:szCs w:val="24"/>
                <w:lang w:val="uk-UA"/>
              </w:rPr>
            </w:pPr>
            <w:r>
              <w:rPr>
                <w:bCs/>
                <w:sz w:val="24"/>
                <w:szCs w:val="24"/>
                <w:lang w:val="uk-UA"/>
              </w:rPr>
              <w:t>1 рік навчання</w:t>
            </w:r>
          </w:p>
        </w:tc>
      </w:tr>
      <w:tr>
        <w:trPr>
          <w:trHeight w:val="537" w:hRule="atLeast"/>
        </w:trPr>
        <w:tc>
          <w:tcPr>
            <w:tcW w:w="2131" w:type="dxa"/>
            <w:tcBorders>
              <w:top w:val="single" w:sz="4" w:space="0" w:color="666633"/>
              <w:left w:val="single" w:sz="4" w:space="0" w:color="666633"/>
              <w:bottom w:val="single" w:sz="4" w:space="0" w:color="666633"/>
              <w:right w:val="single" w:sz="4" w:space="0" w:color="666633"/>
            </w:tcBorders>
            <w:vAlign w:val="center"/>
          </w:tcPr>
          <w:p>
            <w:pPr>
              <w:pStyle w:val="Standard"/>
              <w:jc w:val="center"/>
              <w:rPr>
                <w:sz w:val="24"/>
                <w:szCs w:val="24"/>
                <w:lang w:val="uk-UA"/>
              </w:rPr>
            </w:pPr>
            <w:r>
              <w:rPr>
                <w:b/>
                <w:bCs/>
                <w:color w:val="0070C0"/>
                <w:sz w:val="24"/>
                <w:szCs w:val="24"/>
                <w:lang w:val="uk-UA"/>
              </w:rPr>
              <w:t>Дні, час, місце проведення навчальної дисципліни</w:t>
            </w:r>
          </w:p>
        </w:tc>
        <w:tc>
          <w:tcPr>
            <w:tcW w:w="7408" w:type="dxa"/>
            <w:tcBorders>
              <w:top w:val="single" w:sz="4" w:space="0" w:color="666633"/>
              <w:left w:val="single" w:sz="4" w:space="0" w:color="666633"/>
              <w:bottom w:val="single" w:sz="4" w:space="0" w:color="666633"/>
              <w:right w:val="single" w:sz="4" w:space="0" w:color="666633"/>
            </w:tcBorders>
            <w:tcMar>
              <w:left w:w="120" w:type="dxa"/>
              <w:right w:w="120" w:type="dxa"/>
            </w:tcMar>
          </w:tcPr>
          <w:p>
            <w:pPr>
              <w:pStyle w:val="1"/>
              <w:widowControl w:val="false"/>
              <w:spacing w:lineRule="auto" w:line="240"/>
              <w:jc w:val="both"/>
              <w:rPr>
                <w:sz w:val="24"/>
                <w:szCs w:val="24"/>
                <w:lang w:val="uk-UA"/>
              </w:rPr>
            </w:pPr>
            <w:r>
              <w:rPr>
                <w:rFonts w:cs="Times New Roman" w:ascii="Times New Roman" w:hAnsi="Times New Roman"/>
                <w:sz w:val="24"/>
                <w:szCs w:val="24"/>
                <w:lang w:val="uk-UA"/>
              </w:rPr>
              <w:t>За розкладом занять</w:t>
            </w:r>
          </w:p>
          <w:p>
            <w:pPr>
              <w:pStyle w:val="1"/>
              <w:widowControl w:val="false"/>
              <w:spacing w:lineRule="auto" w:line="240"/>
              <w:jc w:val="both"/>
              <w:rPr>
                <w:sz w:val="24"/>
                <w:szCs w:val="24"/>
                <w:lang w:val="uk-UA"/>
              </w:rPr>
            </w:pPr>
            <w:r>
              <w:rPr>
                <w:rFonts w:cs="Times New Roman" w:ascii="Times New Roman" w:hAnsi="Times New Roman"/>
                <w:sz w:val="24"/>
                <w:szCs w:val="24"/>
                <w:lang w:val="uk-UA"/>
              </w:rPr>
              <w:t>Кафедра симуляційних медичних технологій</w:t>
            </w:r>
          </w:p>
          <w:p>
            <w:pPr>
              <w:pStyle w:val="1"/>
              <w:widowControl w:val="false"/>
              <w:spacing w:lineRule="auto" w:line="240"/>
              <w:jc w:val="both"/>
              <w:rPr>
                <w:sz w:val="24"/>
                <w:szCs w:val="24"/>
                <w:lang w:val="uk-UA"/>
              </w:rPr>
            </w:pPr>
            <w:r>
              <w:rPr>
                <w:rFonts w:cs="Times New Roman" w:ascii="Times New Roman" w:hAnsi="Times New Roman"/>
                <w:sz w:val="24"/>
                <w:szCs w:val="24"/>
                <w:lang w:val="uk-UA"/>
              </w:rPr>
              <w:t>м. Одеса, пров. Валіховський, 3</w:t>
            </w:r>
          </w:p>
        </w:tc>
      </w:tr>
      <w:tr>
        <w:trPr>
          <w:trHeight w:val="340" w:hRule="atLeast"/>
        </w:trPr>
        <w:tc>
          <w:tcPr>
            <w:tcW w:w="2131" w:type="dxa"/>
            <w:tcBorders>
              <w:top w:val="single" w:sz="4" w:space="0" w:color="666633"/>
              <w:left w:val="single" w:sz="4" w:space="0" w:color="666633"/>
              <w:bottom w:val="single" w:sz="4" w:space="0" w:color="666633"/>
              <w:right w:val="single" w:sz="4" w:space="0" w:color="666633"/>
            </w:tcBorders>
            <w:vAlign w:val="center"/>
          </w:tcPr>
          <w:p>
            <w:pPr>
              <w:pStyle w:val="Standard"/>
              <w:jc w:val="center"/>
              <w:rPr>
                <w:sz w:val="24"/>
                <w:szCs w:val="24"/>
                <w:lang w:val="uk-UA"/>
              </w:rPr>
            </w:pPr>
            <w:r>
              <w:rPr>
                <w:rFonts w:eastAsia="Times New Roman"/>
                <w:b/>
                <w:color w:val="0070C0"/>
                <w:sz w:val="24"/>
                <w:szCs w:val="24"/>
                <w:lang w:val="uk-UA"/>
              </w:rPr>
              <w:t>Викладач(-і)</w:t>
            </w:r>
          </w:p>
        </w:tc>
        <w:tc>
          <w:tcPr>
            <w:tcW w:w="7408" w:type="dxa"/>
            <w:tcBorders>
              <w:top w:val="single" w:sz="4" w:space="0" w:color="666633"/>
              <w:left w:val="single" w:sz="4" w:space="0" w:color="666633"/>
              <w:bottom w:val="single" w:sz="4" w:space="0" w:color="666633"/>
              <w:right w:val="single" w:sz="4" w:space="0" w:color="666633"/>
            </w:tcBorders>
            <w:tcMar>
              <w:left w:w="120" w:type="dxa"/>
              <w:right w:w="120" w:type="dxa"/>
            </w:tcMar>
          </w:tcPr>
          <w:p>
            <w:pPr>
              <w:pStyle w:val="Standard"/>
              <w:widowControl w:val="false"/>
              <w:jc w:val="both"/>
              <w:rPr>
                <w:sz w:val="24"/>
                <w:szCs w:val="24"/>
                <w:lang w:val="uk-UA"/>
              </w:rPr>
            </w:pPr>
            <w:r>
              <w:rPr>
                <w:rFonts w:eastAsia="Times New Roman"/>
                <w:sz w:val="24"/>
                <w:szCs w:val="24"/>
                <w:lang w:val="uk-UA" w:eastAsia="uk-UA"/>
              </w:rPr>
              <w:t>завідувач кафедри, д.екон.н, к.мед.н., доцент Олександр РОГАЧЕВСЬКИЙ</w:t>
            </w:r>
          </w:p>
          <w:p>
            <w:pPr>
              <w:pStyle w:val="Standard"/>
              <w:widowControl w:val="false"/>
              <w:jc w:val="both"/>
              <w:rPr>
                <w:sz w:val="24"/>
                <w:szCs w:val="24"/>
                <w:lang w:val="uk-UA"/>
              </w:rPr>
            </w:pPr>
            <w:r>
              <w:rPr>
                <w:sz w:val="24"/>
                <w:szCs w:val="24"/>
                <w:lang w:val="uk-UA"/>
              </w:rPr>
              <w:t>асистент кафедри Ольга ЄГОРЕНКО</w:t>
            </w:r>
          </w:p>
          <w:p>
            <w:pPr>
              <w:pStyle w:val="Standard"/>
              <w:widowControl w:val="false"/>
              <w:jc w:val="both"/>
              <w:rPr>
                <w:sz w:val="24"/>
                <w:szCs w:val="24"/>
                <w:lang w:val="uk-UA"/>
              </w:rPr>
            </w:pPr>
            <w:r>
              <w:rPr>
                <w:sz w:val="24"/>
                <w:szCs w:val="24"/>
                <w:lang w:val="uk-UA"/>
              </w:rPr>
              <w:t xml:space="preserve">доцент кафедри, </w:t>
            </w:r>
            <w:r>
              <w:rPr>
                <w:rFonts w:eastAsia="Times New Roman"/>
                <w:sz w:val="24"/>
                <w:szCs w:val="24"/>
                <w:lang w:val="uk-UA" w:eastAsia="uk-UA"/>
              </w:rPr>
              <w:t>к.мед.н.</w:t>
            </w:r>
            <w:r>
              <w:rPr>
                <w:sz w:val="24"/>
                <w:szCs w:val="24"/>
                <w:lang w:val="uk-UA"/>
              </w:rPr>
              <w:t xml:space="preserve"> Михайло ПЕРВАК</w:t>
            </w:r>
          </w:p>
          <w:p>
            <w:pPr>
              <w:pStyle w:val="Standard"/>
              <w:widowControl w:val="false"/>
              <w:jc w:val="both"/>
              <w:rPr>
                <w:sz w:val="24"/>
                <w:szCs w:val="24"/>
                <w:lang w:val="uk-UA"/>
              </w:rPr>
            </w:pPr>
            <w:r>
              <w:rPr>
                <w:sz w:val="24"/>
                <w:szCs w:val="24"/>
                <w:lang w:val="uk-UA"/>
              </w:rPr>
              <w:t xml:space="preserve">доцент кафедри, </w:t>
            </w:r>
            <w:r>
              <w:rPr>
                <w:rFonts w:eastAsia="Times New Roman"/>
                <w:sz w:val="24"/>
                <w:szCs w:val="24"/>
                <w:lang w:val="uk-UA" w:eastAsia="uk-UA"/>
              </w:rPr>
              <w:t>к.мед.н.</w:t>
            </w:r>
            <w:r>
              <w:rPr>
                <w:sz w:val="24"/>
                <w:szCs w:val="24"/>
                <w:lang w:val="uk-UA"/>
              </w:rPr>
              <w:t xml:space="preserve"> Василь ГЛАДЧУК</w:t>
            </w:r>
          </w:p>
          <w:p>
            <w:pPr>
              <w:pStyle w:val="Standard"/>
              <w:widowControl w:val="false"/>
              <w:jc w:val="both"/>
              <w:rPr>
                <w:sz w:val="24"/>
                <w:szCs w:val="24"/>
                <w:lang w:val="uk-UA"/>
              </w:rPr>
            </w:pPr>
            <w:r>
              <w:rPr>
                <w:sz w:val="24"/>
                <w:szCs w:val="24"/>
                <w:lang w:val="uk-UA"/>
              </w:rPr>
              <w:t xml:space="preserve">доцент кафедри, </w:t>
            </w:r>
            <w:r>
              <w:rPr>
                <w:rFonts w:eastAsia="Times New Roman"/>
                <w:sz w:val="24"/>
                <w:szCs w:val="24"/>
                <w:lang w:val="uk-UA" w:eastAsia="uk-UA"/>
              </w:rPr>
              <w:t>к.мед.н.</w:t>
            </w:r>
            <w:r>
              <w:rPr>
                <w:sz w:val="24"/>
                <w:szCs w:val="24"/>
                <w:lang w:val="uk-UA"/>
              </w:rPr>
              <w:t xml:space="preserve"> Юрій ПЕТРОВСЬКИЙ</w:t>
            </w:r>
          </w:p>
          <w:p>
            <w:pPr>
              <w:pStyle w:val="Standard"/>
              <w:widowControl w:val="false"/>
              <w:jc w:val="both"/>
              <w:rPr>
                <w:sz w:val="24"/>
                <w:szCs w:val="24"/>
                <w:lang w:val="uk-UA"/>
              </w:rPr>
            </w:pPr>
            <w:r>
              <w:rPr>
                <w:sz w:val="24"/>
                <w:szCs w:val="24"/>
                <w:lang w:val="uk-UA"/>
              </w:rPr>
              <w:t xml:space="preserve">доцент кафедри, </w:t>
            </w:r>
            <w:r>
              <w:rPr>
                <w:rFonts w:eastAsia="Times New Roman"/>
                <w:sz w:val="24"/>
                <w:szCs w:val="24"/>
                <w:lang w:val="uk-UA" w:eastAsia="uk-UA"/>
              </w:rPr>
              <w:t>к.мед.н.</w:t>
            </w:r>
            <w:r>
              <w:rPr>
                <w:sz w:val="24"/>
                <w:szCs w:val="24"/>
                <w:lang w:val="uk-UA"/>
              </w:rPr>
              <w:t xml:space="preserve"> Юлія ПРОКОПЧУК</w:t>
            </w:r>
          </w:p>
          <w:p>
            <w:pPr>
              <w:pStyle w:val="Standard"/>
              <w:widowControl w:val="false"/>
              <w:jc w:val="both"/>
              <w:rPr>
                <w:sz w:val="24"/>
                <w:szCs w:val="24"/>
                <w:lang w:val="uk-UA"/>
              </w:rPr>
            </w:pPr>
            <w:r>
              <w:rPr>
                <w:sz w:val="24"/>
                <w:szCs w:val="24"/>
                <w:lang w:val="uk-UA"/>
              </w:rPr>
              <w:t>асистент кафедри В’ячеслав ОНИЩЕНКО</w:t>
            </w:r>
          </w:p>
          <w:p>
            <w:pPr>
              <w:pStyle w:val="Standard"/>
              <w:widowControl w:val="false"/>
              <w:jc w:val="both"/>
              <w:rPr>
                <w:sz w:val="24"/>
                <w:szCs w:val="24"/>
                <w:lang w:val="uk-UA"/>
              </w:rPr>
            </w:pPr>
            <w:r>
              <w:rPr>
                <w:sz w:val="24"/>
                <w:szCs w:val="24"/>
                <w:lang w:val="uk-UA"/>
              </w:rPr>
              <w:t>асистент кафедри Дмитро КАРАКОНСТАНТИН</w:t>
            </w:r>
          </w:p>
          <w:p>
            <w:pPr>
              <w:pStyle w:val="Standard"/>
              <w:widowControl w:val="false"/>
              <w:jc w:val="both"/>
              <w:rPr>
                <w:sz w:val="24"/>
                <w:szCs w:val="24"/>
                <w:lang w:val="uk-UA"/>
              </w:rPr>
            </w:pPr>
            <w:r>
              <w:rPr>
                <w:sz w:val="24"/>
                <w:szCs w:val="24"/>
                <w:lang w:val="uk-UA"/>
              </w:rPr>
              <w:t>асистент кафедри Геннадій ЧЕРЕМНИХ</w:t>
            </w:r>
          </w:p>
          <w:p>
            <w:pPr>
              <w:pStyle w:val="Standard"/>
              <w:widowControl w:val="false"/>
              <w:jc w:val="both"/>
              <w:rPr>
                <w:sz w:val="24"/>
                <w:szCs w:val="24"/>
                <w:lang w:val="uk-UA"/>
              </w:rPr>
            </w:pPr>
            <w:r>
              <w:rPr>
                <w:rFonts w:eastAsia="Times New Roman"/>
                <w:sz w:val="24"/>
                <w:szCs w:val="24"/>
                <w:lang w:val="uk-UA" w:eastAsia="uk-UA"/>
              </w:rPr>
              <w:t>асистент кафедри Світлана ТРІЩЕНКО</w:t>
            </w:r>
          </w:p>
          <w:p>
            <w:pPr>
              <w:pStyle w:val="Standard"/>
              <w:widowControl w:val="false"/>
              <w:spacing w:lineRule="auto" w:line="240"/>
              <w:jc w:val="both"/>
              <w:rPr>
                <w:sz w:val="24"/>
                <w:szCs w:val="24"/>
                <w:lang w:val="uk-UA"/>
              </w:rPr>
            </w:pPr>
            <w:r>
              <w:rPr>
                <w:rFonts w:eastAsia="Times New Roman"/>
                <w:sz w:val="24"/>
                <w:szCs w:val="24"/>
                <w:lang w:val="uk-UA" w:eastAsia="uk-UA"/>
              </w:rPr>
              <w:t>асистент кафедри Сергій ЛУНЬКО</w:t>
            </w:r>
          </w:p>
        </w:tc>
      </w:tr>
      <w:tr>
        <w:trPr>
          <w:trHeight w:val="480" w:hRule="atLeast"/>
        </w:trPr>
        <w:tc>
          <w:tcPr>
            <w:tcW w:w="2131" w:type="dxa"/>
            <w:tcBorders>
              <w:top w:val="single" w:sz="4" w:space="0" w:color="666633"/>
              <w:left w:val="single" w:sz="4" w:space="0" w:color="666633"/>
              <w:bottom w:val="single" w:sz="4" w:space="0" w:color="666633"/>
              <w:right w:val="single" w:sz="4" w:space="0" w:color="666633"/>
            </w:tcBorders>
            <w:vAlign w:val="center"/>
          </w:tcPr>
          <w:p>
            <w:pPr>
              <w:pStyle w:val="Standard"/>
              <w:jc w:val="center"/>
              <w:rPr>
                <w:sz w:val="24"/>
                <w:szCs w:val="24"/>
                <w:lang w:val="uk-UA"/>
              </w:rPr>
            </w:pPr>
            <w:r>
              <w:rPr>
                <w:rFonts w:eastAsia="Times New Roman"/>
                <w:b/>
                <w:color w:val="0070C0"/>
                <w:sz w:val="24"/>
                <w:szCs w:val="24"/>
                <w:lang w:val="uk-UA"/>
              </w:rPr>
              <w:t>Контактна інформація</w:t>
            </w:r>
          </w:p>
        </w:tc>
        <w:tc>
          <w:tcPr>
            <w:tcW w:w="7408" w:type="dxa"/>
            <w:tcBorders>
              <w:top w:val="single" w:sz="4" w:space="0" w:color="666633"/>
              <w:left w:val="single" w:sz="4" w:space="0" w:color="666633"/>
              <w:bottom w:val="single" w:sz="4" w:space="0" w:color="666633"/>
              <w:right w:val="single" w:sz="4" w:space="0" w:color="666633"/>
            </w:tcBorders>
            <w:tcMar>
              <w:left w:w="120" w:type="dxa"/>
              <w:right w:w="120" w:type="dxa"/>
            </w:tcMar>
          </w:tcPr>
          <w:p>
            <w:pPr>
              <w:pStyle w:val="Standard"/>
              <w:widowControl w:val="false"/>
              <w:spacing w:lineRule="auto" w:line="240" w:before="0" w:after="0"/>
              <w:jc w:val="both"/>
              <w:rPr>
                <w:sz w:val="24"/>
                <w:szCs w:val="24"/>
                <w:lang w:val="uk-UA"/>
              </w:rPr>
            </w:pPr>
            <w:r>
              <w:rPr>
                <w:sz w:val="24"/>
                <w:szCs w:val="24"/>
                <w:lang w:val="uk-UA"/>
              </w:rPr>
              <w:t xml:space="preserve">E-mail: </w:t>
            </w:r>
            <w:r>
              <w:rPr>
                <w:bCs/>
                <w:sz w:val="24"/>
                <w:szCs w:val="24"/>
                <w:lang w:val="uk-UA"/>
              </w:rPr>
              <w:t>simmedtech@onmedu.edu.ua</w:t>
            </w:r>
          </w:p>
          <w:p>
            <w:pPr>
              <w:pStyle w:val="1"/>
              <w:widowControl w:val="false"/>
              <w:spacing w:lineRule="auto" w:line="240"/>
              <w:rPr>
                <w:sz w:val="24"/>
                <w:szCs w:val="24"/>
                <w:lang w:val="uk-UA"/>
              </w:rPr>
            </w:pPr>
            <w:r>
              <w:rPr>
                <w:rFonts w:cs="Times New Roman" w:ascii="Times New Roman" w:hAnsi="Times New Roman"/>
                <w:sz w:val="24"/>
                <w:szCs w:val="24"/>
                <w:lang w:val="uk-UA"/>
              </w:rPr>
              <w:t>Консультації: з 14.30 до 16.30 кожного робочого дня</w:t>
            </w:r>
          </w:p>
        </w:tc>
      </w:tr>
    </w:tbl>
    <w:p>
      <w:pPr>
        <w:pStyle w:val="Standard"/>
        <w:tabs>
          <w:tab w:val="clear" w:pos="708"/>
          <w:tab w:val="left" w:pos="142" w:leader="none"/>
        </w:tabs>
        <w:spacing w:lineRule="auto" w:line="240" w:before="0" w:after="0"/>
        <w:jc w:val="both"/>
        <w:rPr>
          <w:rFonts w:ascii="Times New Roman" w:hAnsi="Times New Roman"/>
          <w:b/>
          <w:b/>
          <w:sz w:val="24"/>
          <w:szCs w:val="24"/>
          <w:lang w:val="uk-UA"/>
        </w:rPr>
      </w:pPr>
      <w:r>
        <w:rPr>
          <w:b/>
          <w:sz w:val="24"/>
          <w:szCs w:val="24"/>
          <w:lang w:val="uk-UA"/>
        </w:rPr>
      </w:r>
    </w:p>
    <w:p>
      <w:pPr>
        <w:pStyle w:val="1"/>
        <w:widowControl w:val="false"/>
        <w:numPr>
          <w:ilvl w:val="0"/>
          <w:numId w:val="27"/>
        </w:numPr>
        <w:tabs>
          <w:tab w:val="clear" w:pos="708"/>
          <w:tab w:val="left" w:pos="0" w:leader="none"/>
        </w:tabs>
        <w:spacing w:lineRule="auto" w:line="240"/>
        <w:ind w:left="0" w:hanging="0"/>
        <w:jc w:val="center"/>
        <w:rPr>
          <w:sz w:val="24"/>
          <w:szCs w:val="24"/>
          <w:lang w:val="uk-UA"/>
        </w:rPr>
      </w:pPr>
      <w:r>
        <w:rPr>
          <w:rFonts w:eastAsia="Calibri" w:cs="Times New Roman" w:ascii="Times New Roman" w:hAnsi="Times New Roman"/>
          <w:b/>
          <w:bCs/>
          <w:color w:val="0070C0"/>
          <w:sz w:val="24"/>
          <w:szCs w:val="24"/>
          <w:lang w:val="uk-UA" w:eastAsia="en-US"/>
        </w:rPr>
        <w:t>КОМУНІКАЦІЯ</w:t>
      </w:r>
    </w:p>
    <w:p>
      <w:pPr>
        <w:pStyle w:val="1"/>
        <w:widowControl w:val="false"/>
        <w:numPr>
          <w:ilvl w:val="0"/>
          <w:numId w:val="28"/>
        </w:numPr>
        <w:tabs>
          <w:tab w:val="clear" w:pos="708"/>
          <w:tab w:val="left" w:pos="0" w:leader="none"/>
        </w:tabs>
        <w:spacing w:lineRule="auto" w:line="240"/>
        <w:ind w:left="0" w:firstLine="709"/>
        <w:jc w:val="center"/>
        <w:rPr>
          <w:rFonts w:ascii="Times New Roman" w:hAnsi="Times New Roman" w:eastAsia="Calibri" w:cs="Times New Roman"/>
          <w:b/>
          <w:b/>
          <w:bCs/>
          <w:color w:val="0070C0"/>
          <w:sz w:val="24"/>
          <w:szCs w:val="24"/>
          <w:lang w:val="uk-UA" w:eastAsia="en-US"/>
        </w:rPr>
      </w:pPr>
      <w:r>
        <w:rPr>
          <w:rFonts w:eastAsia="Calibri" w:cs="Times New Roman" w:ascii="Times New Roman" w:hAnsi="Times New Roman"/>
          <w:b/>
          <w:bCs/>
          <w:color w:val="0070C0"/>
          <w:sz w:val="24"/>
          <w:szCs w:val="24"/>
          <w:lang w:val="uk-UA" w:eastAsia="en-US"/>
        </w:rPr>
      </w:r>
    </w:p>
    <w:p>
      <w:pPr>
        <w:pStyle w:val="ListParagraph"/>
        <w:widowControl w:val="false"/>
        <w:numPr>
          <w:ilvl w:val="0"/>
          <w:numId w:val="29"/>
        </w:numPr>
        <w:tabs>
          <w:tab w:val="clear" w:pos="708"/>
          <w:tab w:val="left" w:pos="0" w:leader="none"/>
        </w:tabs>
        <w:ind w:left="0" w:firstLine="709"/>
        <w:jc w:val="both"/>
        <w:rPr>
          <w:sz w:val="24"/>
          <w:szCs w:val="24"/>
          <w:lang w:val="uk-UA"/>
        </w:rPr>
      </w:pPr>
      <w:r>
        <w:rPr>
          <w:sz w:val="24"/>
          <w:szCs w:val="24"/>
          <w:lang w:val="uk-UA"/>
        </w:rPr>
        <w:t>Комунікація зі здобувачами буде здійснюватися аудиторно (очно).</w:t>
      </w:r>
    </w:p>
    <w:p>
      <w:pPr>
        <w:pStyle w:val="ListParagraph"/>
        <w:widowControl w:val="false"/>
        <w:numPr>
          <w:ilvl w:val="0"/>
          <w:numId w:val="30"/>
        </w:numPr>
        <w:tabs>
          <w:tab w:val="clear" w:pos="708"/>
          <w:tab w:val="left" w:pos="0" w:leader="none"/>
        </w:tabs>
        <w:ind w:left="0" w:firstLine="709"/>
        <w:jc w:val="both"/>
        <w:rPr>
          <w:sz w:val="24"/>
          <w:szCs w:val="24"/>
          <w:lang w:val="uk-UA"/>
        </w:rPr>
      </w:pPr>
      <w:r>
        <w:rPr>
          <w:bCs/>
          <w:sz w:val="24"/>
          <w:szCs w:val="24"/>
          <w:lang w:val="uk-UA"/>
        </w:rPr>
        <w:t>Під час дистанційного навчання комунікація здійснюється через платформу Microsoft Teams, а також через листування електронною поштою, месенджери Viber, WhatsApp, Telegram (через створені у Viber, WhatsApp, Telegram групи для кожної групи, окремо через старосту групи).</w:t>
      </w:r>
    </w:p>
    <w:p>
      <w:pPr>
        <w:pStyle w:val="ListParagraph"/>
        <w:numPr>
          <w:ilvl w:val="0"/>
          <w:numId w:val="31"/>
        </w:numPr>
        <w:jc w:val="center"/>
        <w:rPr>
          <w:b/>
          <w:b/>
          <w:caps/>
          <w:color w:val="0070C0"/>
          <w:sz w:val="24"/>
          <w:szCs w:val="24"/>
          <w:lang w:val="uk-UA"/>
        </w:rPr>
      </w:pPr>
      <w:r>
        <w:rPr>
          <w:b/>
          <w:caps/>
          <w:color w:val="0070C0"/>
          <w:sz w:val="24"/>
          <w:szCs w:val="24"/>
          <w:lang w:val="uk-UA"/>
        </w:rPr>
      </w:r>
    </w:p>
    <w:p>
      <w:pPr>
        <w:pStyle w:val="ListParagraph"/>
        <w:numPr>
          <w:ilvl w:val="0"/>
          <w:numId w:val="32"/>
        </w:numPr>
        <w:jc w:val="center"/>
        <w:rPr>
          <w:sz w:val="24"/>
          <w:szCs w:val="24"/>
          <w:lang w:val="uk-UA"/>
        </w:rPr>
      </w:pPr>
      <w:r>
        <w:rPr>
          <w:b/>
          <w:caps/>
          <w:color w:val="0070C0"/>
          <w:sz w:val="24"/>
          <w:szCs w:val="24"/>
          <w:lang w:val="uk-UA"/>
        </w:rPr>
        <w:t xml:space="preserve">Анотація </w:t>
      </w:r>
      <w:r>
        <w:rPr>
          <w:sz w:val="24"/>
          <w:szCs w:val="24"/>
          <w:lang w:val="uk-UA"/>
        </w:rPr>
        <w:t>ПРАКТИКИ</w:t>
      </w:r>
    </w:p>
    <w:p>
      <w:pPr>
        <w:pStyle w:val="Standard"/>
        <w:numPr>
          <w:ilvl w:val="0"/>
          <w:numId w:val="33"/>
        </w:numPr>
        <w:tabs>
          <w:tab w:val="clear" w:pos="708"/>
          <w:tab w:val="left" w:pos="0" w:leader="none"/>
        </w:tabs>
        <w:spacing w:lineRule="auto" w:line="240" w:before="0" w:after="0"/>
        <w:ind w:left="0" w:firstLine="709"/>
        <w:jc w:val="both"/>
        <w:rPr>
          <w:rFonts w:ascii="Times New Roman" w:hAnsi="Times New Roman"/>
          <w:sz w:val="24"/>
          <w:szCs w:val="24"/>
          <w:lang w:val="uk-UA"/>
        </w:rPr>
      </w:pPr>
      <w:r>
        <w:rPr>
          <w:sz w:val="24"/>
          <w:szCs w:val="24"/>
          <w:lang w:val="uk-UA"/>
        </w:rPr>
      </w:r>
    </w:p>
    <w:p>
      <w:pPr>
        <w:pStyle w:val="Standard"/>
        <w:numPr>
          <w:ilvl w:val="0"/>
          <w:numId w:val="34"/>
        </w:numPr>
        <w:tabs>
          <w:tab w:val="clear" w:pos="708"/>
          <w:tab w:val="left" w:pos="0" w:leader="none"/>
        </w:tabs>
        <w:spacing w:lineRule="auto" w:line="240" w:before="0" w:after="0"/>
        <w:ind w:left="0" w:firstLine="709"/>
        <w:jc w:val="both"/>
        <w:rPr>
          <w:sz w:val="24"/>
          <w:szCs w:val="24"/>
          <w:lang w:val="uk-UA"/>
        </w:rPr>
      </w:pPr>
      <w:r>
        <w:rPr>
          <w:i/>
          <w:sz w:val="24"/>
          <w:szCs w:val="24"/>
          <w:lang w:val="uk-UA"/>
        </w:rPr>
        <w:t>Предметом</w:t>
      </w:r>
      <w:r>
        <w:rPr>
          <w:b/>
          <w:sz w:val="24"/>
          <w:szCs w:val="24"/>
          <w:lang w:val="uk-UA"/>
        </w:rPr>
        <w:t xml:space="preserve"> </w:t>
      </w:r>
      <w:r>
        <w:rPr>
          <w:sz w:val="24"/>
          <w:szCs w:val="24"/>
          <w:lang w:val="uk-UA"/>
        </w:rPr>
        <w:t>є вивчення теоретичних основ, розвиток та удосконалення практичних навичок виконання медичних маніпуляцій, включаючи використання сучасного обладнання, а також алгоритмів дій у невідкладних ситуаціях.</w:t>
      </w:r>
    </w:p>
    <w:p>
      <w:pPr>
        <w:pStyle w:val="Standard"/>
        <w:numPr>
          <w:ilvl w:val="0"/>
          <w:numId w:val="35"/>
        </w:numPr>
        <w:tabs>
          <w:tab w:val="clear" w:pos="708"/>
          <w:tab w:val="left" w:pos="0" w:leader="none"/>
        </w:tabs>
        <w:spacing w:lineRule="auto" w:line="240" w:before="0" w:after="0"/>
        <w:ind w:left="0" w:firstLine="709"/>
        <w:jc w:val="both"/>
        <w:rPr>
          <w:sz w:val="24"/>
          <w:szCs w:val="24"/>
          <w:lang w:val="uk-UA"/>
        </w:rPr>
      </w:pPr>
      <w:r>
        <w:rPr>
          <w:i/>
          <w:sz w:val="24"/>
          <w:szCs w:val="24"/>
          <w:lang w:val="uk-UA"/>
        </w:rPr>
        <w:t>Пререквізити</w:t>
      </w:r>
      <w:r>
        <w:rPr>
          <w:sz w:val="24"/>
          <w:szCs w:val="24"/>
          <w:lang w:val="uk-UA"/>
        </w:rPr>
        <w:t>: ґрунтується на отриманих знаннях під час вивчення попередніх дисциплін: медичної біології та мікробіології, нормальної та патологічної анатомії, нормальної та патологічної фізіології, основ медсестринства, гігієни, клінічної фармакології та фармакотерапії в медсестринстві, медсестринства у внутрішній медицині, медсестринства у педіатрії та неонатології, медсестринства в акушерстві та гінекології, медсестринства в хірургії з циклом асептики, антисептики та профілактики внутрішньолікарняної інфекції, невідкладної допомоги та інших клінічних дисциплін й інтегрується з цими дисциплінами.</w:t>
      </w:r>
    </w:p>
    <w:p>
      <w:pPr>
        <w:pStyle w:val="Standard"/>
        <w:numPr>
          <w:ilvl w:val="0"/>
          <w:numId w:val="36"/>
        </w:numPr>
        <w:tabs>
          <w:tab w:val="clear" w:pos="708"/>
          <w:tab w:val="left" w:pos="0" w:leader="none"/>
        </w:tabs>
        <w:spacing w:lineRule="auto" w:line="240" w:before="0" w:after="0"/>
        <w:ind w:left="0" w:firstLine="709"/>
        <w:jc w:val="both"/>
        <w:rPr>
          <w:sz w:val="24"/>
          <w:szCs w:val="24"/>
          <w:lang w:val="uk-UA"/>
        </w:rPr>
      </w:pPr>
      <w:r>
        <w:rPr>
          <w:i/>
          <w:sz w:val="24"/>
          <w:szCs w:val="24"/>
          <w:lang w:val="uk-UA"/>
        </w:rPr>
        <w:t>Постреквізити</w:t>
      </w:r>
      <w:r>
        <w:rPr>
          <w:sz w:val="24"/>
          <w:szCs w:val="24"/>
          <w:lang w:val="uk-UA"/>
        </w:rPr>
        <w:t>: удосконалює теоретичні знання і практичні навички виконання медичних маніпуляцій здобувачами.</w:t>
      </w:r>
    </w:p>
    <w:p>
      <w:pPr>
        <w:pStyle w:val="Standard"/>
        <w:tabs>
          <w:tab w:val="clear" w:pos="708"/>
          <w:tab w:val="left" w:pos="284" w:leader="none"/>
          <w:tab w:val="left" w:pos="567" w:leader="none"/>
        </w:tabs>
        <w:spacing w:lineRule="auto" w:line="240" w:before="0" w:after="0"/>
        <w:ind w:firstLine="709"/>
        <w:jc w:val="both"/>
        <w:rPr>
          <w:sz w:val="24"/>
          <w:szCs w:val="24"/>
          <w:lang w:val="uk-UA"/>
        </w:rPr>
      </w:pPr>
      <w:r>
        <w:rPr>
          <w:i/>
          <w:sz w:val="24"/>
          <w:szCs w:val="24"/>
          <w:lang w:val="uk-UA"/>
        </w:rPr>
        <w:t>Мета —</w:t>
      </w:r>
      <w:r>
        <w:rPr>
          <w:b/>
          <w:sz w:val="24"/>
          <w:szCs w:val="24"/>
          <w:lang w:val="uk-UA"/>
        </w:rPr>
        <w:t xml:space="preserve"> </w:t>
      </w:r>
      <w:r>
        <w:rPr>
          <w:sz w:val="24"/>
          <w:szCs w:val="24"/>
          <w:lang w:val="uk-UA"/>
        </w:rPr>
        <w:t>формування у здобувачів здатності виконання медичних маніпуляцій під час надання допомоги при невідкладних станах та удосконалення навичок та компетентностей, набутих при вивченні попередніх дисциплін.</w:t>
      </w:r>
    </w:p>
    <w:p>
      <w:pPr>
        <w:pStyle w:val="Standard"/>
        <w:tabs>
          <w:tab w:val="clear" w:pos="708"/>
          <w:tab w:val="left" w:pos="284" w:leader="none"/>
          <w:tab w:val="left" w:pos="567" w:leader="none"/>
        </w:tabs>
        <w:spacing w:lineRule="auto" w:line="240" w:before="0" w:after="0"/>
        <w:ind w:firstLine="709"/>
        <w:jc w:val="both"/>
        <w:rPr>
          <w:sz w:val="24"/>
          <w:szCs w:val="24"/>
          <w:lang w:val="uk-UA"/>
        </w:rPr>
      </w:pPr>
      <w:r>
        <w:rPr>
          <w:i/>
          <w:sz w:val="24"/>
          <w:szCs w:val="24"/>
          <w:lang w:val="uk-UA"/>
        </w:rPr>
        <w:t>Завдання:</w:t>
      </w:r>
    </w:p>
    <w:p>
      <w:pPr>
        <w:pStyle w:val="Standard"/>
        <w:numPr>
          <w:ilvl w:val="0"/>
          <w:numId w:val="4"/>
        </w:numPr>
        <w:rPr>
          <w:sz w:val="24"/>
          <w:szCs w:val="24"/>
          <w:lang w:val="uk-UA"/>
        </w:rPr>
      </w:pPr>
      <w:r>
        <w:rPr>
          <w:sz w:val="24"/>
          <w:szCs w:val="24"/>
          <w:lang w:val="uk-UA"/>
        </w:rPr>
        <w:t>Оволодіння навичками безпечного виконання базових медичних маніпуляцій.</w:t>
      </w:r>
    </w:p>
    <w:p>
      <w:pPr>
        <w:pStyle w:val="Standard"/>
        <w:numPr>
          <w:ilvl w:val="0"/>
          <w:numId w:val="4"/>
        </w:numPr>
        <w:rPr>
          <w:sz w:val="24"/>
          <w:szCs w:val="24"/>
          <w:lang w:val="uk-UA"/>
        </w:rPr>
      </w:pPr>
      <w:r>
        <w:rPr>
          <w:sz w:val="24"/>
          <w:szCs w:val="24"/>
          <w:lang w:val="uk-UA"/>
        </w:rPr>
        <w:t>Формування компетенцій з надання допомоги пацієнтам в різних клінічних станах.</w:t>
      </w:r>
    </w:p>
    <w:p>
      <w:pPr>
        <w:pStyle w:val="Standard"/>
        <w:numPr>
          <w:ilvl w:val="0"/>
          <w:numId w:val="4"/>
        </w:numPr>
        <w:rPr>
          <w:sz w:val="24"/>
          <w:szCs w:val="24"/>
          <w:lang w:val="uk-UA"/>
        </w:rPr>
      </w:pPr>
      <w:r>
        <w:rPr>
          <w:sz w:val="24"/>
          <w:szCs w:val="24"/>
          <w:lang w:val="uk-UA"/>
        </w:rPr>
        <w:t>Освоєння алгоритмів дій під час розвитку невідкладних станів.</w:t>
      </w:r>
    </w:p>
    <w:p>
      <w:pPr>
        <w:pStyle w:val="Standard"/>
        <w:numPr>
          <w:ilvl w:val="0"/>
          <w:numId w:val="4"/>
        </w:numPr>
        <w:rPr>
          <w:sz w:val="24"/>
          <w:szCs w:val="24"/>
          <w:lang w:val="uk-UA"/>
        </w:rPr>
      </w:pPr>
      <w:r>
        <w:rPr>
          <w:sz w:val="24"/>
          <w:szCs w:val="24"/>
          <w:lang w:val="uk-UA"/>
        </w:rPr>
        <w:t>Розвиток навичок роботи із сучасним медичним обладнанням.</w:t>
      </w:r>
    </w:p>
    <w:p>
      <w:pPr>
        <w:pStyle w:val="Standard"/>
        <w:numPr>
          <w:ilvl w:val="0"/>
          <w:numId w:val="4"/>
        </w:numPr>
        <w:rPr>
          <w:sz w:val="24"/>
          <w:szCs w:val="24"/>
          <w:lang w:val="uk-UA"/>
        </w:rPr>
      </w:pPr>
      <w:r>
        <w:rPr>
          <w:sz w:val="24"/>
          <w:szCs w:val="24"/>
          <w:lang w:val="uk-UA"/>
        </w:rPr>
        <w:t>Формування професійної відповідальності та прихильності до принципів медичної етики.</w:t>
      </w:r>
    </w:p>
    <w:p>
      <w:pPr>
        <w:pStyle w:val="Standard"/>
        <w:tabs>
          <w:tab w:val="clear" w:pos="708"/>
          <w:tab w:val="left" w:pos="0" w:leader="none"/>
        </w:tabs>
        <w:spacing w:lineRule="auto" w:line="240" w:before="0" w:after="0"/>
        <w:ind w:firstLine="709"/>
        <w:jc w:val="both"/>
        <w:rPr>
          <w:sz w:val="24"/>
          <w:szCs w:val="24"/>
          <w:lang w:val="uk-UA"/>
        </w:rPr>
      </w:pPr>
      <w:r>
        <w:rPr>
          <w:sz w:val="24"/>
          <w:szCs w:val="24"/>
          <w:lang w:val="uk-UA"/>
        </w:rPr>
      </w:r>
    </w:p>
    <w:p>
      <w:pPr>
        <w:pStyle w:val="Standard"/>
        <w:tabs>
          <w:tab w:val="clear" w:pos="708"/>
          <w:tab w:val="left" w:pos="0" w:leader="none"/>
        </w:tabs>
        <w:spacing w:lineRule="auto" w:line="240" w:before="0" w:after="0"/>
        <w:ind w:firstLine="709"/>
        <w:jc w:val="both"/>
        <w:rPr>
          <w:sz w:val="24"/>
          <w:szCs w:val="24"/>
          <w:lang w:val="uk-UA"/>
        </w:rPr>
      </w:pPr>
      <w:r>
        <w:rPr>
          <w:i/>
          <w:sz w:val="24"/>
          <w:szCs w:val="24"/>
          <w:lang w:val="uk-UA"/>
        </w:rPr>
        <w:t>Очікувані результати:</w:t>
      </w:r>
    </w:p>
    <w:p>
      <w:pPr>
        <w:pStyle w:val="NormalWeb"/>
        <w:numPr>
          <w:ilvl w:val="0"/>
          <w:numId w:val="37"/>
        </w:numPr>
        <w:tabs>
          <w:tab w:val="clear" w:pos="708"/>
          <w:tab w:val="left" w:pos="-142" w:leader="none"/>
          <w:tab w:val="left" w:pos="0" w:leader="none"/>
        </w:tabs>
        <w:spacing w:before="0" w:after="0"/>
        <w:ind w:left="0" w:firstLine="709"/>
        <w:jc w:val="both"/>
        <w:rPr>
          <w:sz w:val="24"/>
          <w:szCs w:val="24"/>
          <w:lang w:val="uk-UA"/>
        </w:rPr>
      </w:pPr>
      <w:r>
        <w:rPr>
          <w:sz w:val="24"/>
          <w:szCs w:val="24"/>
          <w:lang w:val="uk-UA"/>
        </w:rPr>
        <w:t>У результаті проходження практики здобувач вищої освіти повинен:</w:t>
      </w:r>
    </w:p>
    <w:p>
      <w:pPr>
        <w:pStyle w:val="NormalWeb"/>
        <w:numPr>
          <w:ilvl w:val="0"/>
          <w:numId w:val="38"/>
        </w:numPr>
        <w:tabs>
          <w:tab w:val="clear" w:pos="708"/>
          <w:tab w:val="left" w:pos="-142" w:leader="none"/>
          <w:tab w:val="left" w:pos="0" w:leader="none"/>
        </w:tabs>
        <w:spacing w:before="0" w:after="0"/>
        <w:ind w:left="0" w:firstLine="709"/>
        <w:jc w:val="both"/>
        <w:rPr>
          <w:sz w:val="24"/>
          <w:szCs w:val="24"/>
          <w:lang w:val="uk-UA"/>
        </w:rPr>
      </w:pPr>
      <w:r>
        <w:rPr>
          <w:i/>
          <w:sz w:val="24"/>
          <w:szCs w:val="24"/>
          <w:lang w:val="uk-UA"/>
        </w:rPr>
        <w:t>Знати:</w:t>
      </w:r>
    </w:p>
    <w:p>
      <w:pPr>
        <w:pStyle w:val="Standard"/>
        <w:widowControl w:val="false"/>
        <w:numPr>
          <w:ilvl w:val="0"/>
          <w:numId w:val="6"/>
        </w:numPr>
        <w:tabs>
          <w:tab w:val="clear" w:pos="708"/>
          <w:tab w:val="left" w:pos="0" w:leader="none"/>
          <w:tab w:val="left" w:pos="5554" w:leader="none"/>
        </w:tabs>
        <w:jc w:val="both"/>
        <w:rPr>
          <w:sz w:val="24"/>
          <w:szCs w:val="24"/>
          <w:lang w:val="uk-UA"/>
        </w:rPr>
      </w:pPr>
      <w:r>
        <w:rPr>
          <w:iCs/>
          <w:color w:val="00000A"/>
          <w:sz w:val="24"/>
          <w:szCs w:val="24"/>
          <w:lang w:val="uk-UA"/>
        </w:rPr>
        <w:t>Анатомічну будову органів та систем у дорослих та дітей різного віку</w:t>
      </w:r>
    </w:p>
    <w:p>
      <w:pPr>
        <w:pStyle w:val="Standard"/>
        <w:widowControl w:val="false"/>
        <w:numPr>
          <w:ilvl w:val="0"/>
          <w:numId w:val="6"/>
        </w:numPr>
        <w:tabs>
          <w:tab w:val="clear" w:pos="708"/>
          <w:tab w:val="left" w:pos="0" w:leader="none"/>
          <w:tab w:val="left" w:pos="720" w:leader="none"/>
        </w:tabs>
        <w:jc w:val="both"/>
        <w:rPr>
          <w:sz w:val="24"/>
          <w:szCs w:val="24"/>
          <w:lang w:val="uk-UA"/>
        </w:rPr>
      </w:pPr>
      <w:r>
        <w:rPr>
          <w:color w:val="00000A"/>
          <w:sz w:val="24"/>
          <w:szCs w:val="24"/>
          <w:lang w:val="uk-UA"/>
        </w:rPr>
        <w:t>Знати методи загального обстеження</w:t>
      </w:r>
    </w:p>
    <w:p>
      <w:pPr>
        <w:pStyle w:val="Standard"/>
        <w:widowControl w:val="false"/>
        <w:numPr>
          <w:ilvl w:val="0"/>
          <w:numId w:val="6"/>
        </w:numPr>
        <w:tabs>
          <w:tab w:val="clear" w:pos="708"/>
          <w:tab w:val="left" w:pos="0" w:leader="none"/>
          <w:tab w:val="left" w:pos="720" w:leader="none"/>
        </w:tabs>
        <w:jc w:val="both"/>
        <w:rPr>
          <w:sz w:val="24"/>
          <w:szCs w:val="24"/>
          <w:lang w:val="uk-UA"/>
        </w:rPr>
      </w:pPr>
      <w:r>
        <w:rPr>
          <w:color w:val="00000A"/>
          <w:sz w:val="24"/>
          <w:szCs w:val="24"/>
          <w:lang w:val="uk-UA"/>
        </w:rPr>
        <w:t>Патологічні зміни органів та систем у дорослих та дітей різного віку під час розвитку невідкладних станів</w:t>
      </w:r>
    </w:p>
    <w:p>
      <w:pPr>
        <w:pStyle w:val="Standard"/>
        <w:widowControl w:val="false"/>
        <w:numPr>
          <w:ilvl w:val="0"/>
          <w:numId w:val="6"/>
        </w:numPr>
        <w:tabs>
          <w:tab w:val="clear" w:pos="708"/>
          <w:tab w:val="left" w:pos="0" w:leader="none"/>
          <w:tab w:val="left" w:pos="720" w:leader="none"/>
        </w:tabs>
        <w:jc w:val="both"/>
        <w:rPr>
          <w:sz w:val="24"/>
          <w:szCs w:val="24"/>
          <w:lang w:val="uk-UA"/>
        </w:rPr>
      </w:pPr>
      <w:r>
        <w:rPr>
          <w:color w:val="00000A"/>
          <w:sz w:val="24"/>
          <w:szCs w:val="24"/>
          <w:lang w:val="uk-UA"/>
        </w:rPr>
        <w:t>Фізіологічні особливості кровообігу та дихання у дорослих та дітей різного віку</w:t>
      </w:r>
    </w:p>
    <w:p>
      <w:pPr>
        <w:pStyle w:val="Standard"/>
        <w:widowControl w:val="false"/>
        <w:numPr>
          <w:ilvl w:val="0"/>
          <w:numId w:val="6"/>
        </w:numPr>
        <w:tabs>
          <w:tab w:val="clear" w:pos="708"/>
          <w:tab w:val="left" w:pos="0" w:leader="none"/>
          <w:tab w:val="left" w:pos="720" w:leader="none"/>
        </w:tabs>
        <w:jc w:val="both"/>
        <w:rPr>
          <w:sz w:val="24"/>
          <w:szCs w:val="24"/>
          <w:lang w:val="uk-UA"/>
        </w:rPr>
      </w:pPr>
      <w:r>
        <w:rPr>
          <w:color w:val="00000A"/>
          <w:sz w:val="24"/>
          <w:szCs w:val="24"/>
          <w:lang w:val="uk-UA"/>
        </w:rPr>
        <w:t>Фармакологічні основи застосування лікарських препаратів при виконанні маніпуляцій</w:t>
      </w:r>
    </w:p>
    <w:p>
      <w:pPr>
        <w:pStyle w:val="Standard"/>
        <w:widowControl w:val="false"/>
        <w:numPr>
          <w:ilvl w:val="0"/>
          <w:numId w:val="6"/>
        </w:numPr>
        <w:tabs>
          <w:tab w:val="clear" w:pos="708"/>
          <w:tab w:val="left" w:pos="0" w:leader="none"/>
          <w:tab w:val="left" w:pos="720" w:leader="none"/>
        </w:tabs>
        <w:jc w:val="both"/>
        <w:rPr>
          <w:sz w:val="24"/>
          <w:szCs w:val="24"/>
          <w:lang w:val="uk-UA"/>
        </w:rPr>
      </w:pPr>
      <w:r>
        <w:rPr>
          <w:color w:val="00000A"/>
          <w:sz w:val="24"/>
          <w:szCs w:val="24"/>
          <w:lang w:val="uk-UA"/>
        </w:rPr>
        <w:t>Фармакокінетику, фармакодинаміку та побічні явища препаратів, що використовуються при наданні допомоги в разі розвитку невідкладних станів у дорослих та дітей різного віку</w:t>
      </w:r>
    </w:p>
    <w:p>
      <w:pPr>
        <w:pStyle w:val="Standard"/>
        <w:widowControl w:val="false"/>
        <w:numPr>
          <w:ilvl w:val="0"/>
          <w:numId w:val="6"/>
        </w:numPr>
        <w:tabs>
          <w:tab w:val="clear" w:pos="708"/>
          <w:tab w:val="left" w:pos="0" w:leader="none"/>
          <w:tab w:val="left" w:pos="720" w:leader="none"/>
        </w:tabs>
        <w:jc w:val="both"/>
        <w:rPr>
          <w:sz w:val="24"/>
          <w:szCs w:val="24"/>
          <w:lang w:val="uk-UA"/>
        </w:rPr>
      </w:pPr>
      <w:r>
        <w:rPr>
          <w:color w:val="00000A"/>
          <w:sz w:val="24"/>
          <w:szCs w:val="24"/>
          <w:lang w:val="uk-UA"/>
        </w:rPr>
        <w:t>Принципи асептики та антисептики</w:t>
      </w:r>
    </w:p>
    <w:p>
      <w:pPr>
        <w:pStyle w:val="Standard"/>
        <w:widowControl w:val="false"/>
        <w:numPr>
          <w:ilvl w:val="0"/>
          <w:numId w:val="6"/>
        </w:numPr>
        <w:tabs>
          <w:tab w:val="clear" w:pos="708"/>
          <w:tab w:val="left" w:pos="0" w:leader="none"/>
          <w:tab w:val="left" w:pos="720" w:leader="none"/>
        </w:tabs>
        <w:jc w:val="both"/>
        <w:rPr>
          <w:sz w:val="24"/>
          <w:szCs w:val="24"/>
          <w:lang w:val="uk-UA"/>
        </w:rPr>
      </w:pPr>
      <w:r>
        <w:rPr>
          <w:color w:val="00000A"/>
          <w:sz w:val="24"/>
          <w:szCs w:val="24"/>
          <w:lang w:val="uk-UA"/>
        </w:rPr>
        <w:t>Алгоритми дій у невідкладних ситуаціях</w:t>
      </w:r>
    </w:p>
    <w:p>
      <w:pPr>
        <w:pStyle w:val="Standard"/>
        <w:widowControl w:val="false"/>
        <w:numPr>
          <w:ilvl w:val="0"/>
          <w:numId w:val="6"/>
        </w:numPr>
        <w:tabs>
          <w:tab w:val="clear" w:pos="708"/>
          <w:tab w:val="left" w:pos="0" w:leader="none"/>
          <w:tab w:val="left" w:pos="720" w:leader="none"/>
        </w:tabs>
        <w:jc w:val="both"/>
        <w:rPr>
          <w:sz w:val="24"/>
          <w:szCs w:val="24"/>
          <w:lang w:val="uk-UA"/>
        </w:rPr>
      </w:pPr>
      <w:r>
        <w:rPr>
          <w:iCs/>
          <w:color w:val="00000A"/>
          <w:sz w:val="24"/>
          <w:szCs w:val="24"/>
          <w:lang w:val="uk-UA"/>
        </w:rPr>
        <w:t>Принципи медичної етики</w:t>
      </w:r>
    </w:p>
    <w:p>
      <w:pPr>
        <w:pStyle w:val="ListParagraph"/>
        <w:widowControl w:val="false"/>
        <w:numPr>
          <w:ilvl w:val="0"/>
          <w:numId w:val="6"/>
        </w:numPr>
        <w:tabs>
          <w:tab w:val="clear" w:pos="708"/>
          <w:tab w:val="left" w:pos="720" w:leader="none"/>
          <w:tab w:val="left" w:pos="1440" w:leader="none"/>
        </w:tabs>
        <w:jc w:val="both"/>
        <w:rPr>
          <w:sz w:val="24"/>
          <w:szCs w:val="24"/>
          <w:lang w:val="uk-UA"/>
        </w:rPr>
      </w:pPr>
      <w:r>
        <w:rPr>
          <w:rFonts w:eastAsia="Calibri"/>
          <w:iCs/>
          <w:color w:val="000000"/>
          <w:sz w:val="24"/>
          <w:szCs w:val="24"/>
          <w:lang w:val="uk-UA"/>
        </w:rPr>
        <w:t xml:space="preserve">Поняття, показання, протипоказання, </w:t>
      </w:r>
      <w:r>
        <w:rPr>
          <w:iCs/>
          <w:color w:val="00000A"/>
          <w:sz w:val="24"/>
          <w:szCs w:val="24"/>
          <w:lang w:val="uk-UA"/>
        </w:rPr>
        <w:t>техніка</w:t>
      </w:r>
      <w:r>
        <w:rPr>
          <w:rFonts w:eastAsia="Calibri"/>
          <w:iCs/>
          <w:color w:val="000000"/>
          <w:sz w:val="24"/>
          <w:szCs w:val="24"/>
          <w:lang w:val="uk-UA"/>
        </w:rPr>
        <w:t xml:space="preserve"> проведення, алгоритм та ускладнення</w:t>
      </w:r>
      <w:r>
        <w:rPr>
          <w:iCs/>
          <w:color w:val="00000A"/>
          <w:sz w:val="24"/>
          <w:szCs w:val="24"/>
          <w:lang w:val="uk-UA"/>
        </w:rPr>
        <w:t xml:space="preserve"> маніпуляцій:</w:t>
      </w:r>
    </w:p>
    <w:p>
      <w:pPr>
        <w:pStyle w:val="Standard"/>
        <w:widowControl w:val="false"/>
        <w:numPr>
          <w:ilvl w:val="0"/>
          <w:numId w:val="7"/>
        </w:numPr>
        <w:tabs>
          <w:tab w:val="clear" w:pos="708"/>
          <w:tab w:val="left" w:pos="0" w:leader="none"/>
          <w:tab w:val="left" w:pos="720" w:leader="none"/>
        </w:tabs>
        <w:spacing w:before="0" w:after="0"/>
        <w:jc w:val="both"/>
        <w:rPr>
          <w:sz w:val="24"/>
          <w:szCs w:val="24"/>
          <w:lang w:val="uk-UA"/>
        </w:rPr>
      </w:pPr>
      <w:r>
        <w:rPr>
          <w:color w:val="00000A"/>
          <w:sz w:val="24"/>
          <w:szCs w:val="24"/>
          <w:lang w:val="uk-UA"/>
        </w:rPr>
        <w:t>користуючись схемою і методикою обстеження пацієнта, за допомогою медичного обладнання, спираючись на знання анатомо-фізіологічних особливостей дихальної системи у пацієнтів різних вікових груп, вміти проводити оцінювання характеру кашлю; оцінювання харкотиння; огляд грудної клітки; підрахунок частоти дихання, реєстрацію даних у температурному листку; пальпацію грудної клітки; спірометрію (визначення ЖЄЛ); перкусію, аускультацію грудної клітки; визначення окружності грудної клітки під час вдиху та видиху</w:t>
      </w:r>
    </w:p>
    <w:p>
      <w:pPr>
        <w:pStyle w:val="Standard"/>
        <w:widowControl w:val="false"/>
        <w:numPr>
          <w:ilvl w:val="0"/>
          <w:numId w:val="7"/>
        </w:numPr>
        <w:tabs>
          <w:tab w:val="clear" w:pos="708"/>
          <w:tab w:val="left" w:pos="0" w:leader="none"/>
          <w:tab w:val="left" w:pos="720" w:leader="none"/>
        </w:tabs>
        <w:spacing w:before="0" w:after="0"/>
        <w:jc w:val="both"/>
        <w:rPr>
          <w:sz w:val="24"/>
          <w:szCs w:val="24"/>
          <w:lang w:val="uk-UA"/>
        </w:rPr>
      </w:pPr>
      <w:r>
        <w:rPr>
          <w:sz w:val="24"/>
          <w:szCs w:val="24"/>
          <w:lang w:val="uk-UA"/>
        </w:rPr>
        <w:t xml:space="preserve">користуючись схемою і методикою обстеження пацієнта, спираючись на знання анатомо-фізіологічних особливостей </w:t>
      </w:r>
      <w:r>
        <w:rPr>
          <w:bCs/>
          <w:sz w:val="24"/>
          <w:szCs w:val="24"/>
          <w:lang w:val="uk-UA"/>
        </w:rPr>
        <w:t xml:space="preserve">системи кровообігу </w:t>
      </w:r>
      <w:r>
        <w:rPr>
          <w:sz w:val="24"/>
          <w:szCs w:val="24"/>
          <w:lang w:val="uk-UA"/>
        </w:rPr>
        <w:t>у пацієнтів різних вікових груп, уміти</w:t>
      </w:r>
      <w:bookmarkStart w:id="1" w:name="bookmark38"/>
      <w:bookmarkEnd w:id="1"/>
      <w:r>
        <w:rPr>
          <w:sz w:val="24"/>
          <w:szCs w:val="24"/>
          <w:lang w:val="uk-UA"/>
        </w:rPr>
        <w:t xml:space="preserve"> визначати серцевий поштовх;</w:t>
      </w:r>
      <w:bookmarkStart w:id="2" w:name="bookmark39"/>
      <w:bookmarkEnd w:id="2"/>
      <w:r>
        <w:rPr>
          <w:sz w:val="24"/>
          <w:szCs w:val="24"/>
          <w:lang w:val="uk-UA"/>
        </w:rPr>
        <w:t xml:space="preserve"> проводити перкусію та аускультацію серця;</w:t>
      </w:r>
      <w:bookmarkStart w:id="3" w:name="bookmark40"/>
      <w:bookmarkEnd w:id="3"/>
      <w:r>
        <w:rPr>
          <w:sz w:val="24"/>
          <w:szCs w:val="24"/>
          <w:lang w:val="uk-UA"/>
        </w:rPr>
        <w:t xml:space="preserve"> визначати частоту серцевих скорочень;</w:t>
      </w:r>
      <w:bookmarkStart w:id="4" w:name="bookmark41"/>
      <w:bookmarkEnd w:id="4"/>
      <w:r>
        <w:rPr>
          <w:sz w:val="24"/>
          <w:szCs w:val="24"/>
          <w:lang w:val="uk-UA"/>
        </w:rPr>
        <w:t xml:space="preserve"> визначати властивості пульсу та реєструвати його в температурному листку;</w:t>
      </w:r>
      <w:bookmarkStart w:id="5" w:name="bookmark42"/>
      <w:bookmarkEnd w:id="5"/>
      <w:r>
        <w:rPr>
          <w:sz w:val="24"/>
          <w:szCs w:val="24"/>
          <w:lang w:val="uk-UA"/>
        </w:rPr>
        <w:t xml:space="preserve"> </w:t>
      </w:r>
      <w:r>
        <w:rPr>
          <w:color w:val="00000A"/>
          <w:sz w:val="24"/>
          <w:szCs w:val="24"/>
          <w:lang w:val="uk-UA"/>
        </w:rPr>
        <w:t>вимірювати артеріальний тиск на руках та ногах, оцінювати його результати та реєструвати його в температурному листку</w:t>
      </w:r>
    </w:p>
    <w:p>
      <w:pPr>
        <w:pStyle w:val="Standard"/>
        <w:widowControl w:val="false"/>
        <w:numPr>
          <w:ilvl w:val="0"/>
          <w:numId w:val="7"/>
        </w:numPr>
        <w:tabs>
          <w:tab w:val="clear" w:pos="708"/>
          <w:tab w:val="left" w:pos="0" w:leader="none"/>
          <w:tab w:val="left" w:pos="720" w:leader="none"/>
        </w:tabs>
        <w:spacing w:before="0" w:after="0"/>
        <w:jc w:val="both"/>
        <w:rPr>
          <w:sz w:val="24"/>
          <w:szCs w:val="24"/>
          <w:lang w:val="uk-UA"/>
        </w:rPr>
      </w:pPr>
      <w:r>
        <w:rPr>
          <w:sz w:val="24"/>
          <w:szCs w:val="24"/>
          <w:lang w:val="uk-UA"/>
        </w:rPr>
        <w:t xml:space="preserve">користуючись схемою і методикою обстеження пацієнта за допомогою медичного обладнання, спираючись на знання анатомо-фізіологічних особливостей </w:t>
      </w:r>
      <w:r>
        <w:rPr>
          <w:bCs/>
          <w:sz w:val="24"/>
          <w:szCs w:val="24"/>
          <w:lang w:val="uk-UA"/>
        </w:rPr>
        <w:t xml:space="preserve">опорно- рухового апарату, </w:t>
      </w:r>
      <w:r>
        <w:rPr>
          <w:sz w:val="24"/>
          <w:szCs w:val="24"/>
          <w:lang w:val="uk-UA"/>
        </w:rPr>
        <w:t>в пацієнтів різних вікових груп, вміти проводити</w:t>
      </w:r>
      <w:bookmarkStart w:id="6" w:name="bookmark44"/>
      <w:bookmarkEnd w:id="6"/>
      <w:r>
        <w:rPr>
          <w:sz w:val="24"/>
          <w:szCs w:val="24"/>
          <w:lang w:val="uk-UA"/>
        </w:rPr>
        <w:t xml:space="preserve"> огляд та пальпацію м’язів, хребта, кінцівок та суглобів;</w:t>
      </w:r>
      <w:bookmarkStart w:id="7" w:name="bookmark45"/>
      <w:bookmarkEnd w:id="7"/>
      <w:r>
        <w:rPr>
          <w:sz w:val="24"/>
          <w:szCs w:val="24"/>
          <w:lang w:val="uk-UA"/>
        </w:rPr>
        <w:t xml:space="preserve"> </w:t>
      </w:r>
      <w:r>
        <w:rPr>
          <w:color w:val="00000A"/>
          <w:sz w:val="24"/>
          <w:szCs w:val="24"/>
          <w:lang w:val="uk-UA"/>
        </w:rPr>
        <w:t>вимірювання об’єму рухів у суглобах</w:t>
      </w:r>
    </w:p>
    <w:p>
      <w:pPr>
        <w:pStyle w:val="Standard"/>
        <w:widowControl w:val="false"/>
        <w:numPr>
          <w:ilvl w:val="0"/>
          <w:numId w:val="7"/>
        </w:numPr>
        <w:tabs>
          <w:tab w:val="clear" w:pos="708"/>
          <w:tab w:val="left" w:pos="0" w:leader="none"/>
          <w:tab w:val="left" w:pos="720" w:leader="none"/>
        </w:tabs>
        <w:spacing w:before="0" w:after="0"/>
        <w:jc w:val="both"/>
        <w:rPr>
          <w:sz w:val="24"/>
          <w:szCs w:val="24"/>
          <w:lang w:val="uk-UA"/>
        </w:rPr>
      </w:pPr>
      <w:r>
        <w:rPr>
          <w:color w:val="00000A"/>
          <w:sz w:val="24"/>
          <w:szCs w:val="24"/>
          <w:lang w:val="uk-UA"/>
        </w:rPr>
        <w:t>користуючись схемою і методикою обстеження пацієнта, за допомогою медичного обладнання, спираючись на знання анатомо-фізіологічних особливостей органів травлення, вміти проводити та оцінювати у пацієнтів різних вікових груп: оцінювання блювотних мас; оцінювання випорожнень; огляд живота; поверхневу пальпацію живота; перкусію живота (визначення метеоризму та асциту); аускультацію живота; перевірку симптому Щоткіна— Блюмберга</w:t>
      </w:r>
    </w:p>
    <w:p>
      <w:pPr>
        <w:pStyle w:val="Standard"/>
        <w:widowControl w:val="false"/>
        <w:numPr>
          <w:ilvl w:val="0"/>
          <w:numId w:val="7"/>
        </w:numPr>
        <w:tabs>
          <w:tab w:val="clear" w:pos="708"/>
          <w:tab w:val="left" w:pos="0" w:leader="none"/>
          <w:tab w:val="left" w:pos="720" w:leader="none"/>
        </w:tabs>
        <w:spacing w:before="0" w:after="0"/>
        <w:jc w:val="both"/>
        <w:rPr>
          <w:sz w:val="24"/>
          <w:szCs w:val="24"/>
          <w:lang w:val="uk-UA"/>
        </w:rPr>
      </w:pPr>
      <w:r>
        <w:rPr>
          <w:sz w:val="24"/>
          <w:szCs w:val="24"/>
          <w:lang w:val="uk-UA"/>
        </w:rPr>
        <w:t xml:space="preserve">користуючись схемою і методикою обстеження пацієнта, спираючись на знання анатомо-фізіологічних особливостей </w:t>
      </w:r>
      <w:r>
        <w:rPr>
          <w:bCs/>
          <w:sz w:val="24"/>
          <w:szCs w:val="24"/>
          <w:lang w:val="uk-UA"/>
        </w:rPr>
        <w:t xml:space="preserve">сечовидільної системи </w:t>
      </w:r>
      <w:r>
        <w:rPr>
          <w:sz w:val="24"/>
          <w:szCs w:val="24"/>
          <w:lang w:val="uk-UA"/>
        </w:rPr>
        <w:t>у пацієнтів різних вікових груп, уміти проводити</w:t>
      </w:r>
      <w:bookmarkStart w:id="8" w:name="bookmark55"/>
      <w:bookmarkEnd w:id="8"/>
      <w:r>
        <w:rPr>
          <w:sz w:val="24"/>
          <w:szCs w:val="24"/>
          <w:lang w:val="uk-UA"/>
        </w:rPr>
        <w:t xml:space="preserve"> огляд зовнішніх сечових і статевих органів;</w:t>
      </w:r>
      <w:bookmarkStart w:id="9" w:name="bookmark56"/>
      <w:bookmarkEnd w:id="9"/>
      <w:r>
        <w:rPr>
          <w:sz w:val="24"/>
          <w:szCs w:val="24"/>
          <w:lang w:val="uk-UA"/>
        </w:rPr>
        <w:t xml:space="preserve"> перевірку симптому Пастернацького;</w:t>
      </w:r>
      <w:bookmarkStart w:id="10" w:name="bookmark57"/>
      <w:bookmarkEnd w:id="10"/>
      <w:r>
        <w:rPr>
          <w:sz w:val="24"/>
          <w:szCs w:val="24"/>
          <w:lang w:val="uk-UA"/>
        </w:rPr>
        <w:t xml:space="preserve"> оцінювання сечі та сечовипускання;</w:t>
      </w:r>
      <w:bookmarkStart w:id="11" w:name="bookmark58"/>
      <w:bookmarkEnd w:id="11"/>
      <w:r>
        <w:rPr>
          <w:sz w:val="24"/>
          <w:szCs w:val="24"/>
          <w:lang w:val="uk-UA"/>
        </w:rPr>
        <w:t xml:space="preserve"> визначення добового діурезу;</w:t>
      </w:r>
      <w:bookmarkStart w:id="12" w:name="bookmark59"/>
      <w:bookmarkEnd w:id="12"/>
      <w:r>
        <w:rPr>
          <w:sz w:val="24"/>
          <w:szCs w:val="24"/>
          <w:lang w:val="uk-UA"/>
        </w:rPr>
        <w:t xml:space="preserve"> </w:t>
      </w:r>
      <w:r>
        <w:rPr>
          <w:color w:val="00000A"/>
          <w:sz w:val="24"/>
          <w:szCs w:val="24"/>
          <w:lang w:val="uk-UA"/>
        </w:rPr>
        <w:t>визначення водного балансу</w:t>
      </w:r>
    </w:p>
    <w:p>
      <w:pPr>
        <w:pStyle w:val="Standard"/>
        <w:widowControl w:val="false"/>
        <w:numPr>
          <w:ilvl w:val="0"/>
          <w:numId w:val="7"/>
        </w:numPr>
        <w:tabs>
          <w:tab w:val="clear" w:pos="708"/>
          <w:tab w:val="left" w:pos="0" w:leader="none"/>
          <w:tab w:val="left" w:pos="720" w:leader="none"/>
        </w:tabs>
        <w:spacing w:before="0" w:after="0"/>
        <w:jc w:val="both"/>
        <w:rPr>
          <w:sz w:val="24"/>
          <w:szCs w:val="24"/>
          <w:lang w:val="uk-UA"/>
        </w:rPr>
      </w:pPr>
      <w:r>
        <w:rPr>
          <w:sz w:val="24"/>
          <w:szCs w:val="24"/>
          <w:lang w:val="uk-UA"/>
        </w:rPr>
        <w:t>в умовах ЗОЗ, користуючись чинними нормативними документами МОЗ України та медичною документацією, вміти</w:t>
      </w:r>
      <w:bookmarkStart w:id="13" w:name="bookmark234"/>
      <w:bookmarkEnd w:id="13"/>
      <w:r>
        <w:rPr>
          <w:sz w:val="24"/>
          <w:szCs w:val="24"/>
          <w:lang w:val="uk-UA"/>
        </w:rPr>
        <w:t xml:space="preserve"> застосовувати антисептичні засоби;</w:t>
      </w:r>
      <w:bookmarkStart w:id="14" w:name="bookmark235"/>
      <w:bookmarkEnd w:id="14"/>
      <w:r>
        <w:rPr>
          <w:sz w:val="24"/>
          <w:szCs w:val="24"/>
          <w:lang w:val="uk-UA"/>
        </w:rPr>
        <w:t xml:space="preserve"> застосовувати зовнішні кровоспинні засоби;</w:t>
      </w:r>
      <w:bookmarkStart w:id="15" w:name="bookmark237"/>
      <w:bookmarkEnd w:id="15"/>
      <w:r>
        <w:rPr>
          <w:sz w:val="24"/>
          <w:szCs w:val="24"/>
          <w:lang w:val="uk-UA"/>
        </w:rPr>
        <w:t xml:space="preserve"> накладати пластир;</w:t>
      </w:r>
      <w:bookmarkStart w:id="16" w:name="bookmark245"/>
      <w:bookmarkEnd w:id="16"/>
      <w:r>
        <w:rPr>
          <w:sz w:val="24"/>
          <w:szCs w:val="24"/>
          <w:lang w:val="uk-UA"/>
        </w:rPr>
        <w:t xml:space="preserve"> вводити лікарські засоби до гортані;</w:t>
      </w:r>
      <w:bookmarkStart w:id="17" w:name="bookmark246"/>
      <w:bookmarkEnd w:id="17"/>
      <w:r>
        <w:rPr>
          <w:sz w:val="24"/>
          <w:szCs w:val="24"/>
          <w:lang w:val="uk-UA"/>
        </w:rPr>
        <w:t xml:space="preserve"> вводити лікарські засоби в зовнішній слуховий хід;</w:t>
      </w:r>
      <w:bookmarkStart w:id="18" w:name="bookmark247"/>
      <w:bookmarkEnd w:id="18"/>
      <w:r>
        <w:rPr>
          <w:sz w:val="24"/>
          <w:szCs w:val="24"/>
          <w:lang w:val="uk-UA"/>
        </w:rPr>
        <w:t xml:space="preserve"> збирати стерильний шприц із стерилізатора та крафт-пакета;</w:t>
      </w:r>
      <w:bookmarkStart w:id="19" w:name="bookmark248"/>
      <w:bookmarkEnd w:id="19"/>
      <w:r>
        <w:rPr>
          <w:sz w:val="24"/>
          <w:szCs w:val="24"/>
          <w:lang w:val="uk-UA"/>
        </w:rPr>
        <w:t xml:space="preserve"> збирати одноразовий шприц;</w:t>
      </w:r>
      <w:bookmarkStart w:id="20" w:name="bookmark250"/>
      <w:bookmarkEnd w:id="20"/>
      <w:r>
        <w:rPr>
          <w:sz w:val="24"/>
          <w:szCs w:val="24"/>
          <w:lang w:val="uk-UA"/>
        </w:rPr>
        <w:t xml:space="preserve"> набирати фармакологічні засоби із ампул, флаконів;</w:t>
      </w:r>
      <w:bookmarkStart w:id="21" w:name="bookmark251"/>
      <w:bookmarkEnd w:id="21"/>
      <w:r>
        <w:rPr>
          <w:sz w:val="24"/>
          <w:szCs w:val="24"/>
          <w:lang w:val="uk-UA"/>
        </w:rPr>
        <w:t xml:space="preserve"> робити внутрішньошкірні ін’єкції;</w:t>
      </w:r>
      <w:bookmarkStart w:id="22" w:name="bookmark252"/>
      <w:bookmarkEnd w:id="22"/>
      <w:r>
        <w:rPr>
          <w:sz w:val="24"/>
          <w:szCs w:val="24"/>
          <w:lang w:val="uk-UA"/>
        </w:rPr>
        <w:t xml:space="preserve"> робити проби на чутливість до фармакологічних засобів;</w:t>
      </w:r>
      <w:bookmarkStart w:id="23" w:name="bookmark253"/>
      <w:bookmarkEnd w:id="23"/>
      <w:r>
        <w:rPr>
          <w:sz w:val="24"/>
          <w:szCs w:val="24"/>
          <w:lang w:val="uk-UA"/>
        </w:rPr>
        <w:t xml:space="preserve"> робити підшкірні ін’єкції;</w:t>
      </w:r>
      <w:bookmarkStart w:id="24" w:name="bookmark254"/>
      <w:bookmarkEnd w:id="24"/>
      <w:r>
        <w:rPr>
          <w:sz w:val="24"/>
          <w:szCs w:val="24"/>
          <w:lang w:val="uk-UA"/>
        </w:rPr>
        <w:t xml:space="preserve"> набирати в різні види шприців інсулін, гепарин;</w:t>
      </w:r>
      <w:bookmarkStart w:id="25" w:name="bookmark255"/>
      <w:bookmarkEnd w:id="25"/>
      <w:r>
        <w:rPr>
          <w:sz w:val="24"/>
          <w:szCs w:val="24"/>
          <w:lang w:val="uk-UA"/>
        </w:rPr>
        <w:t xml:space="preserve"> вводити олійні розчини;</w:t>
      </w:r>
      <w:bookmarkStart w:id="26" w:name="bookmark256"/>
      <w:bookmarkEnd w:id="26"/>
      <w:r>
        <w:rPr>
          <w:sz w:val="24"/>
          <w:szCs w:val="24"/>
          <w:lang w:val="uk-UA"/>
        </w:rPr>
        <w:t xml:space="preserve"> робити внутрішньом’язові ін’єкції;</w:t>
      </w:r>
      <w:bookmarkStart w:id="27" w:name="bookmark257"/>
      <w:bookmarkEnd w:id="27"/>
      <w:r>
        <w:rPr>
          <w:sz w:val="24"/>
          <w:szCs w:val="24"/>
          <w:lang w:val="uk-UA"/>
        </w:rPr>
        <w:t xml:space="preserve"> розводити антибіотики і розраховувати їхні дози;</w:t>
      </w:r>
      <w:bookmarkStart w:id="28" w:name="bookmark258"/>
      <w:bookmarkEnd w:id="28"/>
      <w:r>
        <w:rPr>
          <w:sz w:val="24"/>
          <w:szCs w:val="24"/>
          <w:lang w:val="uk-UA"/>
        </w:rPr>
        <w:t xml:space="preserve"> робити венепункцію, внутрішньовенне струминне введення фармакологічних засобів;</w:t>
      </w:r>
      <w:bookmarkStart w:id="29" w:name="bookmark259"/>
      <w:bookmarkEnd w:id="29"/>
      <w:r>
        <w:rPr>
          <w:sz w:val="24"/>
          <w:szCs w:val="24"/>
          <w:lang w:val="uk-UA"/>
        </w:rPr>
        <w:t xml:space="preserve"> вводити лікувальні сироватки, імуноглобуліни, анатоксини;</w:t>
      </w:r>
      <w:bookmarkStart w:id="30" w:name="bookmark260"/>
      <w:bookmarkEnd w:id="30"/>
      <w:r>
        <w:rPr>
          <w:sz w:val="24"/>
          <w:szCs w:val="24"/>
          <w:lang w:val="uk-UA"/>
        </w:rPr>
        <w:t xml:space="preserve"> збирати і заповнювати одноразові системи для внутрішньовенних вливань;</w:t>
      </w:r>
      <w:bookmarkStart w:id="31" w:name="bookmark261"/>
      <w:bookmarkEnd w:id="31"/>
      <w:r>
        <w:rPr>
          <w:sz w:val="24"/>
          <w:szCs w:val="24"/>
          <w:lang w:val="uk-UA"/>
        </w:rPr>
        <w:t xml:space="preserve"> проводити внутрішньовенне краплинне введення фармакологічних засобів;</w:t>
      </w:r>
      <w:bookmarkStart w:id="32" w:name="bookmark262"/>
      <w:bookmarkEnd w:id="32"/>
      <w:r>
        <w:rPr>
          <w:sz w:val="24"/>
          <w:szCs w:val="24"/>
          <w:lang w:val="uk-UA"/>
        </w:rPr>
        <w:t xml:space="preserve"> запобігати ускладненням після виконаних маніпуляцій</w:t>
      </w:r>
    </w:p>
    <w:p>
      <w:pPr>
        <w:pStyle w:val="Standard"/>
        <w:widowControl w:val="false"/>
        <w:numPr>
          <w:ilvl w:val="0"/>
          <w:numId w:val="7"/>
        </w:numPr>
        <w:tabs>
          <w:tab w:val="clear" w:pos="708"/>
          <w:tab w:val="left" w:pos="0" w:leader="none"/>
          <w:tab w:val="left" w:pos="720" w:leader="none"/>
        </w:tabs>
        <w:spacing w:before="0" w:after="0"/>
        <w:jc w:val="both"/>
        <w:rPr>
          <w:sz w:val="24"/>
          <w:szCs w:val="24"/>
          <w:lang w:val="uk-UA"/>
        </w:rPr>
      </w:pPr>
      <w:r>
        <w:rPr>
          <w:sz w:val="24"/>
          <w:szCs w:val="24"/>
          <w:lang w:val="uk-UA"/>
        </w:rPr>
        <w:t>в умовах ЗОЗ, домашніх умовах, у разі непередбачених обставин за допомогою предметів догляду, медичного обладнання, фармакологічних та підручних засобів, уміти надавати невідкладну долікарську допомогу пацієнтам різних вікових груп у випадку: нападу бронхіальної астми та астматичного статусу; стенозуючого ларинготрахеїту; легеневої кровотечі; асфіксії різної етіології; набряку легень; гострого порушення серцевого ритму; інсульту; інфекційно-токсичного шоку; перфорації кишки; зневоднення; печінкової енцефалопатїї; малярійного нападу; непритомності; колапсу; гіпертермічного синдрому; гіперглікемічної коми; гіпоглікемічної коми; гострої затримки сечі; гострих отруєнь; ураження електричним струмом; гострих професійних отруєнь; порушень ритму серця; ортостатичної гіпотонії; розшаровування (аневризми) аорти; тромбоемболії легеневої артерії; еклампсії; ананафілактичного шоку; шоків іншої етіології; тиреотоксичної кризи кровотеч зі стравохода та шлунково-кишкової кровотечі; судом різної етіології; нападу епілепсії; харчових токсикоінфекцІй; психомоторного збудження; можливих ускладнень під час та після переливання крові; гострого нападу глаукоми; поранення органа зору; контузії органа зору; опіків органа зору (термічних, хімічних, променевих); клінічної смерті</w:t>
      </w:r>
    </w:p>
    <w:p>
      <w:pPr>
        <w:pStyle w:val="Standard"/>
        <w:widowControl w:val="false"/>
        <w:numPr>
          <w:ilvl w:val="0"/>
          <w:numId w:val="7"/>
        </w:numPr>
        <w:tabs>
          <w:tab w:val="clear" w:pos="708"/>
          <w:tab w:val="left" w:pos="0" w:leader="none"/>
          <w:tab w:val="left" w:pos="720" w:leader="none"/>
        </w:tabs>
        <w:spacing w:before="0" w:after="0"/>
        <w:jc w:val="both"/>
        <w:rPr>
          <w:sz w:val="24"/>
          <w:szCs w:val="24"/>
          <w:lang w:val="uk-UA"/>
        </w:rPr>
      </w:pPr>
      <w:r>
        <w:rPr>
          <w:sz w:val="24"/>
          <w:szCs w:val="24"/>
          <w:lang w:val="uk-UA"/>
        </w:rPr>
        <w:t>в умовах ЗОЗ, домашніх умовах, у разі непередбачених обставин з метою надання невідкладної долікарської допомога у випадку кровотеч, враховуючи анатомічне розташування артерій та нервів, за допомогою підручних та фармакологічних засобів, медичного обладнання, спираючись на нормативні документи, вміти оцінювати вид кровотечі; здійснювати пальцеве притиснення артерії на протязі; накладати кровоспинний джгут; накладати джгут-закрутку; накладати давлячу пов’язку; накладати кровоспинний затискач на судину; проводити тугу тампонаду рани; застосовувати місцево холод; здійснювати максимальне згинання кінцівки; здійснювати максимальне перерозганання кінцівок у суглобах; проводити передню тампонаду носа</w:t>
      </w:r>
    </w:p>
    <w:p>
      <w:pPr>
        <w:pStyle w:val="Standard"/>
        <w:widowControl w:val="false"/>
        <w:numPr>
          <w:ilvl w:val="0"/>
          <w:numId w:val="7"/>
        </w:numPr>
        <w:tabs>
          <w:tab w:val="clear" w:pos="708"/>
          <w:tab w:val="left" w:pos="0" w:leader="none"/>
          <w:tab w:val="left" w:pos="720" w:leader="none"/>
        </w:tabs>
        <w:spacing w:before="0" w:after="0"/>
        <w:jc w:val="both"/>
        <w:rPr>
          <w:sz w:val="24"/>
          <w:szCs w:val="24"/>
          <w:lang w:val="uk-UA"/>
        </w:rPr>
      </w:pPr>
      <w:r>
        <w:rPr>
          <w:sz w:val="24"/>
          <w:szCs w:val="24"/>
          <w:lang w:val="uk-UA"/>
        </w:rPr>
        <w:t>в умовах ЗОЗ, домашніх умовах, у випадку непередбачених обставин з метою запобігання інфікування рани, спираючись на нормативи з асептики та антисептики, використовуючи перев’язувальний матеріал, уміти накладати і знімати вузлові шви; скоби Мішеля; асептичну пов’язку на рану; колову пов’язку на голову; зворотню пов’язку на голову;</w:t>
      </w:r>
      <w:bookmarkStart w:id="33" w:name="bookmark291"/>
      <w:bookmarkEnd w:id="33"/>
      <w:r>
        <w:rPr>
          <w:sz w:val="24"/>
          <w:szCs w:val="24"/>
          <w:lang w:val="uk-UA"/>
        </w:rPr>
        <w:t xml:space="preserve"> пов’язку “чепець” на голову;</w:t>
      </w:r>
      <w:bookmarkStart w:id="34" w:name="bookmark292"/>
      <w:bookmarkEnd w:id="34"/>
      <w:r>
        <w:rPr>
          <w:sz w:val="24"/>
          <w:szCs w:val="24"/>
          <w:lang w:val="uk-UA"/>
        </w:rPr>
        <w:t xml:space="preserve"> хрестоподібну пов’язку на потилицю;</w:t>
      </w:r>
      <w:bookmarkStart w:id="35" w:name="bookmark293"/>
      <w:bookmarkEnd w:id="35"/>
      <w:r>
        <w:rPr>
          <w:sz w:val="24"/>
          <w:szCs w:val="24"/>
          <w:lang w:val="uk-UA"/>
        </w:rPr>
        <w:t xml:space="preserve"> правдоподібну пов’язку на ніс; правдоподібну пов’язку на підборіддя; пов’язку “вуздечка”;</w:t>
      </w:r>
      <w:bookmarkStart w:id="36" w:name="bookmark294"/>
      <w:bookmarkEnd w:id="36"/>
      <w:r>
        <w:rPr>
          <w:sz w:val="24"/>
          <w:szCs w:val="24"/>
          <w:lang w:val="uk-UA"/>
        </w:rPr>
        <w:t xml:space="preserve"> пов’язку “шапка Гіппократа”; колову пов’язку на кінцівку;</w:t>
      </w:r>
      <w:bookmarkStart w:id="37" w:name="bookmark295"/>
      <w:bookmarkEnd w:id="37"/>
      <w:r>
        <w:rPr>
          <w:sz w:val="24"/>
          <w:szCs w:val="24"/>
          <w:lang w:val="uk-UA"/>
        </w:rPr>
        <w:t xml:space="preserve"> спіральну пов’язку на кінцівку;</w:t>
      </w:r>
      <w:bookmarkStart w:id="38" w:name="bookmark296"/>
      <w:bookmarkEnd w:id="38"/>
      <w:r>
        <w:rPr>
          <w:sz w:val="24"/>
          <w:szCs w:val="24"/>
          <w:lang w:val="uk-UA"/>
        </w:rPr>
        <w:t xml:space="preserve"> пов’язку “лицарська рукавичка”; зворотню пов’язку на кисть;</w:t>
      </w:r>
      <w:bookmarkStart w:id="39" w:name="bookmark297"/>
      <w:bookmarkEnd w:id="39"/>
      <w:r>
        <w:rPr>
          <w:sz w:val="24"/>
          <w:szCs w:val="24"/>
          <w:lang w:val="uk-UA"/>
        </w:rPr>
        <w:t xml:space="preserve"> хрестоподібну пов’язку на променево- зап’ястковий суглоб;</w:t>
      </w:r>
      <w:bookmarkStart w:id="40" w:name="bookmark298"/>
      <w:bookmarkEnd w:id="40"/>
      <w:r>
        <w:rPr>
          <w:sz w:val="24"/>
          <w:szCs w:val="24"/>
          <w:lang w:val="uk-UA"/>
        </w:rPr>
        <w:t xml:space="preserve"> хрестоподібну пов’язку на гомілковостопний суглоб; черепашачу пов’язку;</w:t>
      </w:r>
      <w:bookmarkStart w:id="41" w:name="bookmark299"/>
      <w:bookmarkEnd w:id="41"/>
      <w:r>
        <w:rPr>
          <w:sz w:val="24"/>
          <w:szCs w:val="24"/>
          <w:lang w:val="uk-UA"/>
        </w:rPr>
        <w:t xml:space="preserve"> колосоподібну пов’язку;</w:t>
      </w:r>
      <w:bookmarkStart w:id="42" w:name="bookmark300"/>
      <w:bookmarkEnd w:id="42"/>
      <w:r>
        <w:rPr>
          <w:sz w:val="24"/>
          <w:szCs w:val="24"/>
          <w:lang w:val="uk-UA"/>
        </w:rPr>
        <w:t xml:space="preserve"> косинкову пов’язку на кисть;</w:t>
      </w:r>
      <w:bookmarkStart w:id="43" w:name="bookmark301"/>
      <w:bookmarkEnd w:id="43"/>
      <w:r>
        <w:rPr>
          <w:sz w:val="24"/>
          <w:szCs w:val="24"/>
          <w:lang w:val="uk-UA"/>
        </w:rPr>
        <w:t xml:space="preserve"> косинкову пов’язку на стопу;</w:t>
      </w:r>
      <w:bookmarkStart w:id="44" w:name="bookmark302"/>
      <w:bookmarkEnd w:id="44"/>
      <w:r>
        <w:rPr>
          <w:sz w:val="24"/>
          <w:szCs w:val="24"/>
          <w:lang w:val="uk-UA"/>
        </w:rPr>
        <w:t xml:space="preserve"> вушні пов’язки — велику та малу;</w:t>
      </w:r>
      <w:bookmarkStart w:id="45" w:name="bookmark303"/>
      <w:bookmarkEnd w:id="45"/>
      <w:r>
        <w:rPr>
          <w:sz w:val="24"/>
          <w:szCs w:val="24"/>
          <w:lang w:val="uk-UA"/>
        </w:rPr>
        <w:t xml:space="preserve"> монокулярну пов’язку; бінокулярну пов’язку</w:t>
      </w:r>
    </w:p>
    <w:p>
      <w:pPr>
        <w:pStyle w:val="Standard"/>
        <w:widowControl w:val="false"/>
        <w:numPr>
          <w:ilvl w:val="0"/>
          <w:numId w:val="7"/>
        </w:numPr>
        <w:tabs>
          <w:tab w:val="clear" w:pos="708"/>
          <w:tab w:val="left" w:pos="0" w:leader="none"/>
          <w:tab w:val="left" w:pos="720" w:leader="none"/>
        </w:tabs>
        <w:spacing w:before="0" w:after="0"/>
        <w:jc w:val="both"/>
        <w:rPr>
          <w:sz w:val="24"/>
          <w:szCs w:val="24"/>
          <w:lang w:val="uk-UA"/>
        </w:rPr>
      </w:pPr>
      <w:r>
        <w:rPr>
          <w:sz w:val="24"/>
          <w:szCs w:val="24"/>
          <w:lang w:val="uk-UA"/>
        </w:rPr>
        <w:t>в умовах ЗОЗ, домашніх умовах, у разі непередбачених обставин з метою надання невідкладної допомоги у випадку закритих переломів для запобігання розвитку травматичного шоку, розходження відламків та ушкодження внутрішніх органів або тканин, користуючись предметами догляду, медичним обладнанням, фармакологічними та підручними засобами, вміти застосовувати: внутрішньом’язово анальгезувальні засоби;</w:t>
      </w:r>
      <w:bookmarkStart w:id="46" w:name="bookmark304"/>
      <w:bookmarkEnd w:id="46"/>
      <w:r>
        <w:rPr>
          <w:sz w:val="24"/>
          <w:szCs w:val="24"/>
          <w:lang w:val="uk-UA"/>
        </w:rPr>
        <w:t xml:space="preserve"> шину Крамера в разі перелому плеча;</w:t>
      </w:r>
      <w:bookmarkStart w:id="47" w:name="bookmark305"/>
      <w:bookmarkEnd w:id="47"/>
      <w:r>
        <w:rPr>
          <w:sz w:val="24"/>
          <w:szCs w:val="24"/>
          <w:lang w:val="uk-UA"/>
        </w:rPr>
        <w:t xml:space="preserve"> шину Крамера в разі перелому передпліччя;</w:t>
      </w:r>
      <w:bookmarkStart w:id="48" w:name="bookmark306"/>
      <w:bookmarkEnd w:id="48"/>
      <w:r>
        <w:rPr>
          <w:sz w:val="24"/>
          <w:szCs w:val="24"/>
          <w:lang w:val="uk-UA"/>
        </w:rPr>
        <w:t xml:space="preserve"> шину Крамера у випадку перелому однієї з кісток гомілки;</w:t>
      </w:r>
      <w:bookmarkStart w:id="49" w:name="bookmark307"/>
      <w:bookmarkEnd w:id="49"/>
      <w:r>
        <w:rPr>
          <w:sz w:val="24"/>
          <w:szCs w:val="24"/>
          <w:lang w:val="uk-UA"/>
        </w:rPr>
        <w:t xml:space="preserve"> шину Крамера в разі перелому двох кісток гомілки;</w:t>
      </w:r>
      <w:bookmarkStart w:id="50" w:name="bookmark308"/>
      <w:bookmarkEnd w:id="50"/>
      <w:r>
        <w:rPr>
          <w:sz w:val="24"/>
          <w:szCs w:val="24"/>
          <w:lang w:val="uk-UA"/>
        </w:rPr>
        <w:t xml:space="preserve"> шину Дітеріхса в разі перелому стегна;</w:t>
      </w:r>
      <w:bookmarkStart w:id="51" w:name="bookmark309"/>
      <w:bookmarkEnd w:id="51"/>
      <w:r>
        <w:rPr>
          <w:sz w:val="24"/>
          <w:szCs w:val="24"/>
          <w:lang w:val="uk-UA"/>
        </w:rPr>
        <w:t xml:space="preserve"> простирадло або рушник у разі перелому ребер;</w:t>
      </w:r>
      <w:bookmarkStart w:id="52" w:name="bookmark310"/>
      <w:bookmarkEnd w:id="52"/>
      <w:r>
        <w:rPr>
          <w:sz w:val="24"/>
          <w:szCs w:val="24"/>
          <w:lang w:val="uk-UA"/>
        </w:rPr>
        <w:t xml:space="preserve"> підручні засоби у випадку перелому хребта; підручні засоби в разі перелому таза; підручні засоби в разі перелому ключиці; пов’язку Дезо; пов’язку Вельпо; хрестоподібну пов’язку на плечові суглоби в разі перелому ключиці; застосовувати гіпсову пов’язку; провести невідкладну допомогу при внутрішніх кровотечах (зокрема при внутрішньочеревній та гемотораксі)</w:t>
      </w:r>
    </w:p>
    <w:p>
      <w:pPr>
        <w:pStyle w:val="Standard"/>
        <w:widowControl w:val="false"/>
        <w:numPr>
          <w:ilvl w:val="0"/>
          <w:numId w:val="7"/>
        </w:numPr>
        <w:tabs>
          <w:tab w:val="clear" w:pos="708"/>
          <w:tab w:val="left" w:pos="0" w:leader="none"/>
          <w:tab w:val="left" w:pos="720" w:leader="none"/>
        </w:tabs>
        <w:spacing w:before="0" w:after="0"/>
        <w:jc w:val="both"/>
        <w:rPr>
          <w:sz w:val="24"/>
          <w:szCs w:val="24"/>
          <w:lang w:val="uk-UA"/>
        </w:rPr>
      </w:pPr>
      <w:r>
        <w:rPr>
          <w:sz w:val="24"/>
          <w:szCs w:val="24"/>
          <w:lang w:val="uk-UA"/>
        </w:rPr>
        <w:t>в умовах ЗОЗ, домашніх умовах, за непередбачених обставин за допомогою предметів догляду, фармакологічних та підручних засобів вміти надавати невідкладну долікарську допомогу в разі вивихів великих суглобів кінцівок; вивиху нижньої щелепи; відкритих механічних непроникаючих пошкоджень кісток та суглобів; травматичної ампутації; відкритих проникаючих ушкоджень; закритих механічних ушкоджень м'яких тканин; поранення м’яких тканин; термічних ушкоджень (опіків та відморожень); хімічних опіків; електротравми; гострої хірургічної інфекції; травматичної асфіксії; черепно-мозкових травм; гострого живота; парафімозу; синдрому тривалого здавлювання; зростаючого набряку кінцівки з гіпсовою пов’язкою; потрапляння стороннього тіла в м’які тканини; сторонніх тіл кон’юнктиви або рогівки ока; сторонніх тіл порожнини носа, глотки, гортані, вух, стравохода</w:t>
      </w:r>
    </w:p>
    <w:p>
      <w:pPr>
        <w:pStyle w:val="Standard"/>
        <w:widowControl w:val="false"/>
        <w:numPr>
          <w:ilvl w:val="0"/>
          <w:numId w:val="7"/>
        </w:numPr>
        <w:tabs>
          <w:tab w:val="clear" w:pos="708"/>
          <w:tab w:val="left" w:pos="0" w:leader="none"/>
          <w:tab w:val="left" w:pos="720" w:leader="none"/>
        </w:tabs>
        <w:spacing w:before="0" w:after="0"/>
        <w:jc w:val="both"/>
        <w:rPr>
          <w:sz w:val="24"/>
          <w:szCs w:val="24"/>
          <w:lang w:val="uk-UA"/>
        </w:rPr>
      </w:pPr>
      <w:r>
        <w:rPr>
          <w:sz w:val="24"/>
          <w:szCs w:val="24"/>
          <w:lang w:val="uk-UA"/>
        </w:rPr>
        <w:t>в умовах ЗОЗ, домашніх умовах, у разі непередбачених обставин за допомогою існуючих стандартних методик, медичного інструментарію, фармакологічних засобів уміти надавати невідкладну допомогу у випадку тяжких форм пізнього гестозу; кровотеч під час вагітності; кровотеч під час пологів та в післяпологовому періоді; загрози розриву матки; розривів м’яких тканин пологових шляхів; емболії навколоплодовими водами; травми жіночих статевих органів</w:t>
      </w:r>
    </w:p>
    <w:p>
      <w:pPr>
        <w:pStyle w:val="Standard"/>
        <w:widowControl w:val="false"/>
        <w:numPr>
          <w:ilvl w:val="0"/>
          <w:numId w:val="7"/>
        </w:numPr>
        <w:tabs>
          <w:tab w:val="clear" w:pos="708"/>
          <w:tab w:val="left" w:pos="0" w:leader="none"/>
          <w:tab w:val="left" w:pos="720" w:leader="none"/>
        </w:tabs>
        <w:spacing w:before="0" w:after="0"/>
        <w:jc w:val="both"/>
        <w:rPr>
          <w:sz w:val="24"/>
          <w:szCs w:val="24"/>
          <w:lang w:val="uk-UA"/>
        </w:rPr>
      </w:pPr>
      <w:r>
        <w:rPr>
          <w:sz w:val="24"/>
          <w:szCs w:val="24"/>
          <w:lang w:val="uk-UA"/>
        </w:rPr>
        <w:t>в умовах ЗОЗ, домашніх умовах, у разі непередбачених обставин за допомогою медичного обладнання та підручних засобів уміти</w:t>
      </w:r>
      <w:bookmarkStart w:id="53" w:name="bookmark314"/>
      <w:bookmarkEnd w:id="53"/>
      <w:r>
        <w:rPr>
          <w:sz w:val="24"/>
          <w:szCs w:val="24"/>
          <w:lang w:val="uk-UA"/>
        </w:rPr>
        <w:t xml:space="preserve"> надавати потерпілому (хворому) відповідне положення;</w:t>
      </w:r>
      <w:bookmarkStart w:id="54" w:name="bookmark315"/>
      <w:bookmarkEnd w:id="54"/>
      <w:r>
        <w:rPr>
          <w:sz w:val="24"/>
          <w:szCs w:val="24"/>
          <w:lang w:val="uk-UA"/>
        </w:rPr>
        <w:t xml:space="preserve"> транспортувати потерпілого (хворого) різними способами;</w:t>
      </w:r>
      <w:bookmarkStart w:id="55" w:name="bookmark316"/>
      <w:bookmarkEnd w:id="55"/>
      <w:r>
        <w:rPr>
          <w:sz w:val="24"/>
          <w:szCs w:val="24"/>
          <w:lang w:val="uk-UA"/>
        </w:rPr>
        <w:t xml:space="preserve"> перекладати потерпілого (хворого) різними способами;</w:t>
      </w:r>
      <w:bookmarkStart w:id="56" w:name="bookmark317"/>
      <w:bookmarkEnd w:id="56"/>
      <w:r>
        <w:rPr>
          <w:sz w:val="24"/>
          <w:szCs w:val="24"/>
          <w:lang w:val="uk-UA"/>
        </w:rPr>
        <w:t xml:space="preserve"> транспортувати ампутовану частину тіла; транспортувати тіло померлої людини; застосовувати дихальну та контролюючу апаратуру на санітарному транспорт</w:t>
      </w:r>
    </w:p>
    <w:p>
      <w:pPr>
        <w:pStyle w:val="Standard"/>
        <w:widowControl w:val="false"/>
        <w:numPr>
          <w:ilvl w:val="0"/>
          <w:numId w:val="7"/>
        </w:numPr>
        <w:tabs>
          <w:tab w:val="clear" w:pos="708"/>
          <w:tab w:val="left" w:pos="0" w:leader="none"/>
          <w:tab w:val="left" w:pos="720" w:leader="none"/>
        </w:tabs>
        <w:spacing w:before="0" w:after="0"/>
        <w:jc w:val="both"/>
        <w:rPr>
          <w:sz w:val="24"/>
          <w:szCs w:val="24"/>
          <w:lang w:val="uk-UA"/>
        </w:rPr>
      </w:pPr>
      <w:r>
        <w:rPr>
          <w:sz w:val="24"/>
          <w:szCs w:val="24"/>
          <w:lang w:val="uk-UA"/>
        </w:rPr>
        <w:t>відновлення прохідності дихальних шляхів</w:t>
      </w:r>
    </w:p>
    <w:p>
      <w:pPr>
        <w:pStyle w:val="Standard"/>
        <w:widowControl w:val="false"/>
        <w:numPr>
          <w:ilvl w:val="0"/>
          <w:numId w:val="7"/>
        </w:numPr>
        <w:tabs>
          <w:tab w:val="clear" w:pos="708"/>
          <w:tab w:val="left" w:pos="0" w:leader="none"/>
          <w:tab w:val="left" w:pos="720" w:leader="none"/>
        </w:tabs>
        <w:spacing w:before="0" w:after="0"/>
        <w:jc w:val="both"/>
        <w:rPr>
          <w:sz w:val="24"/>
          <w:szCs w:val="24"/>
          <w:lang w:val="uk-UA"/>
        </w:rPr>
      </w:pPr>
      <w:r>
        <w:rPr>
          <w:sz w:val="24"/>
          <w:szCs w:val="24"/>
          <w:lang w:val="uk-UA"/>
        </w:rPr>
        <w:t>базова серцево-легенева реанімація</w:t>
      </w:r>
    </w:p>
    <w:p>
      <w:pPr>
        <w:pStyle w:val="Standard"/>
        <w:widowControl w:val="false"/>
        <w:numPr>
          <w:ilvl w:val="0"/>
          <w:numId w:val="7"/>
        </w:numPr>
        <w:tabs>
          <w:tab w:val="clear" w:pos="708"/>
          <w:tab w:val="left" w:pos="0" w:leader="none"/>
          <w:tab w:val="left" w:pos="720" w:leader="none"/>
        </w:tabs>
        <w:spacing w:before="0" w:after="0"/>
        <w:jc w:val="both"/>
        <w:rPr>
          <w:sz w:val="24"/>
          <w:szCs w:val="24"/>
          <w:lang w:val="uk-UA"/>
        </w:rPr>
      </w:pPr>
      <w:r>
        <w:rPr>
          <w:sz w:val="24"/>
          <w:szCs w:val="24"/>
          <w:lang w:val="uk-UA"/>
        </w:rPr>
        <w:t>дефібриляція за допомогою ручного автоматичного дефібрилятора-кардіовертера</w:t>
      </w:r>
    </w:p>
    <w:p>
      <w:pPr>
        <w:pStyle w:val="Standard"/>
        <w:widowControl w:val="false"/>
        <w:numPr>
          <w:ilvl w:val="0"/>
          <w:numId w:val="7"/>
        </w:numPr>
        <w:tabs>
          <w:tab w:val="clear" w:pos="708"/>
          <w:tab w:val="left" w:pos="0" w:leader="none"/>
          <w:tab w:val="left" w:pos="720" w:leader="none"/>
        </w:tabs>
        <w:spacing w:before="0" w:after="0"/>
        <w:jc w:val="both"/>
        <w:rPr>
          <w:sz w:val="24"/>
          <w:szCs w:val="24"/>
          <w:lang w:val="uk-UA"/>
        </w:rPr>
      </w:pPr>
      <w:r>
        <w:rPr>
          <w:sz w:val="24"/>
          <w:szCs w:val="24"/>
          <w:lang w:val="uk-UA"/>
        </w:rPr>
        <w:t>реєстрація стандартної ЕКГ в 12 відведеннях</w:t>
      </w:r>
    </w:p>
    <w:p>
      <w:pPr>
        <w:pStyle w:val="Standard"/>
        <w:widowControl w:val="false"/>
        <w:numPr>
          <w:ilvl w:val="0"/>
          <w:numId w:val="7"/>
        </w:numPr>
        <w:tabs>
          <w:tab w:val="clear" w:pos="708"/>
          <w:tab w:val="left" w:pos="0" w:leader="none"/>
          <w:tab w:val="left" w:pos="720" w:leader="none"/>
        </w:tabs>
        <w:spacing w:before="0" w:after="0"/>
        <w:jc w:val="both"/>
        <w:rPr>
          <w:sz w:val="24"/>
          <w:szCs w:val="24"/>
          <w:lang w:val="uk-UA"/>
        </w:rPr>
      </w:pPr>
      <w:r>
        <w:rPr>
          <w:sz w:val="24"/>
          <w:szCs w:val="24"/>
          <w:lang w:val="uk-UA"/>
        </w:rPr>
        <w:t>тимчасова зупинка зовнішньої кровотечі</w:t>
      </w:r>
    </w:p>
    <w:p>
      <w:pPr>
        <w:pStyle w:val="Standard"/>
        <w:widowControl w:val="false"/>
        <w:numPr>
          <w:ilvl w:val="0"/>
          <w:numId w:val="7"/>
        </w:numPr>
        <w:tabs>
          <w:tab w:val="clear" w:pos="708"/>
          <w:tab w:val="left" w:pos="0" w:leader="none"/>
          <w:tab w:val="left" w:pos="720" w:leader="none"/>
        </w:tabs>
        <w:spacing w:before="0" w:after="0"/>
        <w:jc w:val="both"/>
        <w:rPr>
          <w:sz w:val="24"/>
          <w:szCs w:val="24"/>
          <w:lang w:val="uk-UA"/>
        </w:rPr>
      </w:pPr>
      <w:r>
        <w:rPr>
          <w:color w:val="00000A"/>
          <w:sz w:val="24"/>
          <w:szCs w:val="24"/>
          <w:lang w:val="uk-UA"/>
        </w:rPr>
        <w:t xml:space="preserve">первинна хірургічна обробка рани, </w:t>
      </w:r>
      <w:r>
        <w:rPr>
          <w:sz w:val="24"/>
          <w:szCs w:val="24"/>
          <w:lang w:val="uk-UA"/>
        </w:rPr>
        <w:t>перев’язка, зняття шкірних швів, зокрема у польових умовах</w:t>
      </w:r>
    </w:p>
    <w:p>
      <w:pPr>
        <w:pStyle w:val="Standard"/>
        <w:widowControl w:val="false"/>
        <w:numPr>
          <w:ilvl w:val="0"/>
          <w:numId w:val="7"/>
        </w:numPr>
        <w:tabs>
          <w:tab w:val="clear" w:pos="708"/>
          <w:tab w:val="left" w:pos="0" w:leader="none"/>
          <w:tab w:val="left" w:pos="720" w:leader="none"/>
        </w:tabs>
        <w:spacing w:before="0" w:after="0"/>
        <w:jc w:val="both"/>
        <w:rPr>
          <w:sz w:val="24"/>
          <w:szCs w:val="24"/>
          <w:lang w:val="uk-UA"/>
        </w:rPr>
      </w:pPr>
      <w:r>
        <w:rPr>
          <w:color w:val="00000A"/>
          <w:sz w:val="24"/>
          <w:szCs w:val="24"/>
          <w:lang w:val="uk-UA"/>
        </w:rPr>
        <w:t>накладання пов’язки, в т.ч. у польових умовах</w:t>
      </w:r>
    </w:p>
    <w:p>
      <w:pPr>
        <w:pStyle w:val="Standard"/>
        <w:widowControl w:val="false"/>
        <w:numPr>
          <w:ilvl w:val="0"/>
          <w:numId w:val="7"/>
        </w:numPr>
        <w:tabs>
          <w:tab w:val="clear" w:pos="708"/>
          <w:tab w:val="left" w:pos="0" w:leader="none"/>
          <w:tab w:val="left" w:pos="720" w:leader="none"/>
        </w:tabs>
        <w:spacing w:before="0" w:after="0"/>
        <w:jc w:val="both"/>
        <w:rPr>
          <w:sz w:val="24"/>
          <w:szCs w:val="24"/>
          <w:lang w:val="uk-UA"/>
        </w:rPr>
      </w:pPr>
      <w:r>
        <w:rPr>
          <w:color w:val="00000A"/>
          <w:sz w:val="24"/>
          <w:szCs w:val="24"/>
          <w:lang w:val="uk-UA"/>
        </w:rPr>
        <w:t>встановлення назогастрального та орогастрального зондів</w:t>
      </w:r>
    </w:p>
    <w:p>
      <w:pPr>
        <w:pStyle w:val="Standard"/>
        <w:widowControl w:val="false"/>
        <w:numPr>
          <w:ilvl w:val="0"/>
          <w:numId w:val="7"/>
        </w:numPr>
        <w:tabs>
          <w:tab w:val="clear" w:pos="708"/>
          <w:tab w:val="left" w:pos="0" w:leader="none"/>
          <w:tab w:val="left" w:pos="720" w:leader="none"/>
        </w:tabs>
        <w:spacing w:before="0" w:after="0"/>
        <w:jc w:val="both"/>
        <w:rPr>
          <w:sz w:val="24"/>
          <w:szCs w:val="24"/>
          <w:lang w:val="uk-UA"/>
        </w:rPr>
      </w:pPr>
      <w:r>
        <w:rPr>
          <w:color w:val="00000A"/>
          <w:sz w:val="24"/>
          <w:szCs w:val="24"/>
          <w:lang w:val="uk-UA"/>
        </w:rPr>
        <w:t>транспортна іммобілізація</w:t>
      </w:r>
    </w:p>
    <w:p>
      <w:pPr>
        <w:pStyle w:val="Standard"/>
        <w:widowControl w:val="false"/>
        <w:numPr>
          <w:ilvl w:val="0"/>
          <w:numId w:val="7"/>
        </w:numPr>
        <w:tabs>
          <w:tab w:val="clear" w:pos="708"/>
          <w:tab w:val="left" w:pos="0" w:leader="none"/>
          <w:tab w:val="left" w:pos="720" w:leader="none"/>
        </w:tabs>
        <w:spacing w:before="0" w:after="0"/>
        <w:jc w:val="both"/>
        <w:rPr>
          <w:sz w:val="24"/>
          <w:szCs w:val="24"/>
          <w:lang w:val="uk-UA"/>
        </w:rPr>
      </w:pPr>
      <w:r>
        <w:rPr>
          <w:color w:val="00000A"/>
          <w:sz w:val="24"/>
          <w:szCs w:val="24"/>
          <w:lang w:val="uk-UA"/>
        </w:rPr>
        <w:t>введення лікарських речовин (внутрішньовенне струминне та крапельне, внутрішньокісткове), зокрема у польових умовах</w:t>
      </w:r>
    </w:p>
    <w:p>
      <w:pPr>
        <w:pStyle w:val="Standard"/>
        <w:widowControl w:val="false"/>
        <w:numPr>
          <w:ilvl w:val="0"/>
          <w:numId w:val="7"/>
        </w:numPr>
        <w:tabs>
          <w:tab w:val="clear" w:pos="708"/>
          <w:tab w:val="left" w:pos="0" w:leader="none"/>
          <w:tab w:val="left" w:pos="720" w:leader="none"/>
        </w:tabs>
        <w:spacing w:before="0" w:after="0"/>
        <w:jc w:val="both"/>
        <w:rPr>
          <w:sz w:val="24"/>
          <w:szCs w:val="24"/>
          <w:lang w:val="uk-UA"/>
        </w:rPr>
      </w:pPr>
      <w:r>
        <w:rPr>
          <w:color w:val="00000A"/>
          <w:sz w:val="24"/>
          <w:szCs w:val="24"/>
          <w:lang w:val="uk-UA"/>
        </w:rPr>
        <w:t>забезпечення периферичного венозного та внутрішньокісткового доступів</w:t>
      </w:r>
    </w:p>
    <w:p>
      <w:pPr>
        <w:pStyle w:val="Standard"/>
        <w:widowControl w:val="false"/>
        <w:numPr>
          <w:ilvl w:val="0"/>
          <w:numId w:val="7"/>
        </w:numPr>
        <w:tabs>
          <w:tab w:val="clear" w:pos="708"/>
          <w:tab w:val="left" w:pos="0" w:leader="none"/>
          <w:tab w:val="left" w:pos="720" w:leader="none"/>
        </w:tabs>
        <w:spacing w:before="0" w:after="0"/>
        <w:jc w:val="both"/>
        <w:rPr>
          <w:sz w:val="24"/>
          <w:szCs w:val="24"/>
          <w:lang w:val="uk-UA"/>
        </w:rPr>
      </w:pPr>
      <w:r>
        <w:rPr>
          <w:color w:val="00000A"/>
          <w:sz w:val="24"/>
          <w:szCs w:val="24"/>
          <w:lang w:val="uk-UA"/>
        </w:rPr>
        <w:t>вимірювання артеріального тиску</w:t>
      </w:r>
    </w:p>
    <w:p>
      <w:pPr>
        <w:pStyle w:val="Standard"/>
        <w:widowControl w:val="false"/>
        <w:numPr>
          <w:ilvl w:val="0"/>
          <w:numId w:val="7"/>
        </w:numPr>
        <w:tabs>
          <w:tab w:val="clear" w:pos="708"/>
          <w:tab w:val="left" w:pos="0" w:leader="none"/>
          <w:tab w:val="left" w:pos="720" w:leader="none"/>
        </w:tabs>
        <w:spacing w:before="0" w:after="0"/>
        <w:jc w:val="both"/>
        <w:rPr>
          <w:sz w:val="24"/>
          <w:szCs w:val="24"/>
          <w:lang w:val="uk-UA"/>
        </w:rPr>
      </w:pPr>
      <w:r>
        <w:rPr>
          <w:color w:val="00000A"/>
          <w:sz w:val="24"/>
          <w:szCs w:val="24"/>
          <w:lang w:val="uk-UA"/>
        </w:rPr>
        <w:t>катетеризація сечового міхура м’яким зондом</w:t>
      </w:r>
    </w:p>
    <w:p>
      <w:pPr>
        <w:pStyle w:val="Standard"/>
        <w:widowControl w:val="false"/>
        <w:numPr>
          <w:ilvl w:val="0"/>
          <w:numId w:val="7"/>
        </w:numPr>
        <w:tabs>
          <w:tab w:val="clear" w:pos="708"/>
          <w:tab w:val="left" w:pos="0" w:leader="none"/>
          <w:tab w:val="left" w:pos="720" w:leader="none"/>
        </w:tabs>
        <w:spacing w:before="0" w:after="0"/>
        <w:jc w:val="both"/>
        <w:rPr>
          <w:sz w:val="24"/>
          <w:szCs w:val="24"/>
          <w:lang w:val="uk-UA"/>
        </w:rPr>
      </w:pPr>
      <w:r>
        <w:rPr>
          <w:color w:val="00000A"/>
          <w:sz w:val="24"/>
          <w:szCs w:val="24"/>
          <w:lang w:val="uk-UA"/>
        </w:rPr>
        <w:t>прийом Геймліха</w:t>
      </w:r>
    </w:p>
    <w:p>
      <w:pPr>
        <w:pStyle w:val="Standard"/>
        <w:widowControl w:val="false"/>
        <w:numPr>
          <w:ilvl w:val="0"/>
          <w:numId w:val="7"/>
        </w:numPr>
        <w:tabs>
          <w:tab w:val="clear" w:pos="708"/>
          <w:tab w:val="left" w:pos="0" w:leader="none"/>
          <w:tab w:val="left" w:pos="720" w:leader="none"/>
        </w:tabs>
        <w:spacing w:before="0" w:after="0"/>
        <w:jc w:val="both"/>
        <w:rPr>
          <w:sz w:val="24"/>
          <w:szCs w:val="24"/>
          <w:lang w:val="uk-UA"/>
        </w:rPr>
      </w:pPr>
      <w:r>
        <w:rPr>
          <w:color w:val="00000A"/>
          <w:sz w:val="24"/>
          <w:szCs w:val="24"/>
          <w:lang w:val="uk-UA"/>
        </w:rPr>
        <w:t>пульсоксиметрія</w:t>
      </w:r>
    </w:p>
    <w:p>
      <w:pPr>
        <w:pStyle w:val="Standard"/>
        <w:widowControl w:val="false"/>
        <w:numPr>
          <w:ilvl w:val="0"/>
          <w:numId w:val="7"/>
        </w:numPr>
        <w:tabs>
          <w:tab w:val="clear" w:pos="708"/>
          <w:tab w:val="left" w:pos="0" w:leader="none"/>
          <w:tab w:val="left" w:pos="720" w:leader="none"/>
        </w:tabs>
        <w:spacing w:before="0" w:after="0"/>
        <w:jc w:val="both"/>
        <w:rPr>
          <w:sz w:val="24"/>
          <w:szCs w:val="24"/>
          <w:lang w:val="uk-UA"/>
        </w:rPr>
      </w:pPr>
      <w:r>
        <w:rPr>
          <w:color w:val="00000A"/>
          <w:sz w:val="24"/>
          <w:szCs w:val="24"/>
          <w:lang w:val="uk-UA"/>
        </w:rPr>
        <w:t>оцінка пульсу на периферичних артеріях</w:t>
      </w:r>
    </w:p>
    <w:p>
      <w:pPr>
        <w:pStyle w:val="Standard"/>
        <w:widowControl w:val="false"/>
        <w:numPr>
          <w:ilvl w:val="0"/>
          <w:numId w:val="7"/>
        </w:numPr>
        <w:tabs>
          <w:tab w:val="clear" w:pos="708"/>
          <w:tab w:val="left" w:pos="0" w:leader="none"/>
          <w:tab w:val="left" w:pos="720" w:leader="none"/>
        </w:tabs>
        <w:spacing w:before="0" w:after="0"/>
        <w:jc w:val="both"/>
        <w:rPr>
          <w:sz w:val="24"/>
          <w:szCs w:val="24"/>
          <w:lang w:val="uk-UA"/>
        </w:rPr>
      </w:pPr>
      <w:r>
        <w:rPr>
          <w:color w:val="00000A"/>
          <w:sz w:val="24"/>
          <w:szCs w:val="24"/>
          <w:lang w:val="uk-UA"/>
        </w:rPr>
        <w:t>аускультація серця та судин</w:t>
      </w:r>
    </w:p>
    <w:p>
      <w:pPr>
        <w:pStyle w:val="Standard"/>
        <w:widowControl w:val="false"/>
        <w:numPr>
          <w:ilvl w:val="0"/>
          <w:numId w:val="7"/>
        </w:numPr>
        <w:tabs>
          <w:tab w:val="clear" w:pos="708"/>
          <w:tab w:val="left" w:pos="0" w:leader="none"/>
          <w:tab w:val="left" w:pos="720" w:leader="none"/>
        </w:tabs>
        <w:spacing w:before="0" w:after="0"/>
        <w:jc w:val="both"/>
        <w:rPr>
          <w:sz w:val="24"/>
          <w:szCs w:val="24"/>
          <w:lang w:val="uk-UA"/>
        </w:rPr>
      </w:pPr>
      <w:r>
        <w:rPr>
          <w:color w:val="00000A"/>
          <w:sz w:val="24"/>
          <w:szCs w:val="24"/>
          <w:lang w:val="uk-UA"/>
        </w:rPr>
        <w:t>перкусія та аускультація легень</w:t>
      </w:r>
    </w:p>
    <w:p>
      <w:pPr>
        <w:pStyle w:val="Standard"/>
        <w:widowControl w:val="false"/>
        <w:numPr>
          <w:ilvl w:val="0"/>
          <w:numId w:val="7"/>
        </w:numPr>
        <w:tabs>
          <w:tab w:val="clear" w:pos="708"/>
          <w:tab w:val="left" w:pos="0" w:leader="none"/>
          <w:tab w:val="left" w:pos="720" w:leader="none"/>
        </w:tabs>
        <w:spacing w:before="0" w:after="0"/>
        <w:jc w:val="both"/>
        <w:rPr>
          <w:sz w:val="24"/>
          <w:szCs w:val="24"/>
          <w:lang w:val="uk-UA"/>
        </w:rPr>
      </w:pPr>
      <w:r>
        <w:rPr>
          <w:iCs/>
          <w:color w:val="00000A"/>
          <w:sz w:val="24"/>
          <w:szCs w:val="24"/>
          <w:lang w:val="uk-UA"/>
        </w:rPr>
        <w:t>пальпація живота</w:t>
      </w:r>
    </w:p>
    <w:p>
      <w:pPr>
        <w:pStyle w:val="NormalWeb"/>
        <w:numPr>
          <w:ilvl w:val="0"/>
          <w:numId w:val="39"/>
        </w:numPr>
        <w:tabs>
          <w:tab w:val="clear" w:pos="708"/>
          <w:tab w:val="left" w:pos="-142" w:leader="none"/>
          <w:tab w:val="left" w:pos="0" w:leader="none"/>
        </w:tabs>
        <w:spacing w:before="0" w:after="0"/>
        <w:ind w:left="0" w:firstLine="709"/>
        <w:jc w:val="both"/>
        <w:rPr>
          <w:sz w:val="24"/>
          <w:szCs w:val="24"/>
          <w:lang w:val="uk-UA"/>
        </w:rPr>
      </w:pPr>
      <w:r>
        <w:rPr>
          <w:i/>
          <w:sz w:val="24"/>
          <w:szCs w:val="24"/>
          <w:lang w:val="uk-UA"/>
        </w:rPr>
        <w:t>Вміти</w:t>
      </w:r>
      <w:r>
        <w:rPr>
          <w:sz w:val="24"/>
          <w:szCs w:val="24"/>
          <w:lang w:val="uk-UA"/>
        </w:rPr>
        <w:t>:</w:t>
      </w:r>
    </w:p>
    <w:p>
      <w:pPr>
        <w:pStyle w:val="Standard"/>
        <w:widowControl w:val="false"/>
        <w:numPr>
          <w:ilvl w:val="0"/>
          <w:numId w:val="9"/>
        </w:numPr>
        <w:tabs>
          <w:tab w:val="clear" w:pos="708"/>
          <w:tab w:val="left" w:pos="0" w:leader="none"/>
          <w:tab w:val="left" w:pos="720" w:leader="none"/>
        </w:tabs>
        <w:jc w:val="both"/>
        <w:rPr>
          <w:sz w:val="24"/>
          <w:szCs w:val="24"/>
          <w:lang w:val="uk-UA"/>
        </w:rPr>
      </w:pPr>
      <w:r>
        <w:rPr>
          <w:color w:val="00000A"/>
          <w:sz w:val="24"/>
          <w:szCs w:val="24"/>
          <w:lang w:val="uk-UA"/>
        </w:rPr>
        <w:t>Орієнтуватися в анатомічній будові органів та систем у дорослих та дітей різного віку</w:t>
      </w:r>
    </w:p>
    <w:p>
      <w:pPr>
        <w:pStyle w:val="Standard"/>
        <w:widowControl w:val="false"/>
        <w:numPr>
          <w:ilvl w:val="0"/>
          <w:numId w:val="9"/>
        </w:numPr>
        <w:tabs>
          <w:tab w:val="clear" w:pos="708"/>
          <w:tab w:val="left" w:pos="0" w:leader="none"/>
          <w:tab w:val="left" w:pos="720" w:leader="none"/>
        </w:tabs>
        <w:jc w:val="both"/>
        <w:rPr>
          <w:sz w:val="24"/>
          <w:szCs w:val="24"/>
          <w:lang w:val="uk-UA"/>
        </w:rPr>
      </w:pPr>
      <w:r>
        <w:rPr>
          <w:color w:val="00000A"/>
          <w:sz w:val="24"/>
          <w:szCs w:val="24"/>
          <w:lang w:val="uk-UA"/>
        </w:rPr>
        <w:t>Вміти провести загальне обстеження</w:t>
      </w:r>
    </w:p>
    <w:p>
      <w:pPr>
        <w:pStyle w:val="Standard"/>
        <w:widowControl w:val="false"/>
        <w:numPr>
          <w:ilvl w:val="0"/>
          <w:numId w:val="9"/>
        </w:numPr>
        <w:tabs>
          <w:tab w:val="clear" w:pos="708"/>
          <w:tab w:val="left" w:pos="0" w:leader="none"/>
          <w:tab w:val="left" w:pos="720" w:leader="none"/>
        </w:tabs>
        <w:jc w:val="both"/>
        <w:rPr>
          <w:sz w:val="24"/>
          <w:szCs w:val="24"/>
          <w:lang w:val="uk-UA"/>
        </w:rPr>
      </w:pPr>
      <w:r>
        <w:rPr>
          <w:color w:val="00000A"/>
          <w:sz w:val="24"/>
          <w:szCs w:val="24"/>
          <w:lang w:val="uk-UA"/>
        </w:rPr>
        <w:t>Назвати патологічні зміни органів та систем людини</w:t>
      </w:r>
    </w:p>
    <w:p>
      <w:pPr>
        <w:pStyle w:val="Standard"/>
        <w:widowControl w:val="false"/>
        <w:numPr>
          <w:ilvl w:val="0"/>
          <w:numId w:val="9"/>
        </w:numPr>
        <w:tabs>
          <w:tab w:val="clear" w:pos="708"/>
          <w:tab w:val="left" w:pos="0" w:leader="none"/>
          <w:tab w:val="left" w:pos="720" w:leader="none"/>
        </w:tabs>
        <w:jc w:val="both"/>
        <w:rPr>
          <w:sz w:val="24"/>
          <w:szCs w:val="24"/>
          <w:lang w:val="uk-UA"/>
        </w:rPr>
      </w:pPr>
      <w:r>
        <w:rPr>
          <w:color w:val="00000A"/>
          <w:sz w:val="24"/>
          <w:szCs w:val="24"/>
          <w:lang w:val="uk-UA"/>
        </w:rPr>
        <w:t>Орієнтуватися у фізіологічних особливостях кровообігу та дихання у дорослих та дітей різного віку</w:t>
      </w:r>
    </w:p>
    <w:p>
      <w:pPr>
        <w:pStyle w:val="Standard"/>
        <w:widowControl w:val="false"/>
        <w:numPr>
          <w:ilvl w:val="0"/>
          <w:numId w:val="9"/>
        </w:numPr>
        <w:tabs>
          <w:tab w:val="clear" w:pos="708"/>
          <w:tab w:val="left" w:pos="0" w:leader="none"/>
          <w:tab w:val="left" w:pos="720" w:leader="none"/>
        </w:tabs>
        <w:jc w:val="both"/>
        <w:rPr>
          <w:sz w:val="24"/>
          <w:szCs w:val="24"/>
          <w:lang w:val="uk-UA"/>
        </w:rPr>
      </w:pPr>
      <w:r>
        <w:rPr>
          <w:color w:val="00000A"/>
          <w:sz w:val="24"/>
          <w:szCs w:val="24"/>
          <w:lang w:val="uk-UA"/>
        </w:rPr>
        <w:t>Орієнтуватись у дозуваннях, фармакокінетиці, фармакодинамиці та побічних явищах препаратів, що використовуються при наданні допомоги в разі розвитку невідкладних станів</w:t>
      </w:r>
    </w:p>
    <w:p>
      <w:pPr>
        <w:pStyle w:val="Standard"/>
        <w:widowControl w:val="false"/>
        <w:numPr>
          <w:ilvl w:val="0"/>
          <w:numId w:val="9"/>
        </w:numPr>
        <w:tabs>
          <w:tab w:val="clear" w:pos="708"/>
          <w:tab w:val="left" w:pos="0" w:leader="none"/>
          <w:tab w:val="left" w:pos="720" w:leader="none"/>
        </w:tabs>
        <w:jc w:val="both"/>
        <w:rPr>
          <w:sz w:val="24"/>
          <w:szCs w:val="24"/>
          <w:lang w:val="uk-UA"/>
        </w:rPr>
      </w:pPr>
      <w:r>
        <w:rPr>
          <w:color w:val="00000A"/>
          <w:sz w:val="24"/>
          <w:szCs w:val="24"/>
          <w:lang w:val="uk-UA"/>
        </w:rPr>
        <w:t>Визначити послідовність дій при наданні невідкладної допомоги</w:t>
      </w:r>
    </w:p>
    <w:p>
      <w:pPr>
        <w:pStyle w:val="Standard"/>
        <w:widowControl w:val="false"/>
        <w:numPr>
          <w:ilvl w:val="0"/>
          <w:numId w:val="9"/>
        </w:numPr>
        <w:tabs>
          <w:tab w:val="clear" w:pos="708"/>
          <w:tab w:val="left" w:pos="0" w:leader="none"/>
          <w:tab w:val="left" w:pos="720" w:leader="none"/>
        </w:tabs>
        <w:jc w:val="both"/>
        <w:rPr>
          <w:sz w:val="24"/>
          <w:szCs w:val="24"/>
          <w:lang w:val="uk-UA"/>
        </w:rPr>
      </w:pPr>
      <w:r>
        <w:rPr>
          <w:color w:val="00000A"/>
          <w:sz w:val="24"/>
          <w:szCs w:val="24"/>
          <w:lang w:val="uk-UA"/>
        </w:rPr>
        <w:t>Виконати необхідні маніпуляції</w:t>
      </w:r>
    </w:p>
    <w:p>
      <w:pPr>
        <w:pStyle w:val="Standard"/>
        <w:widowControl w:val="false"/>
        <w:numPr>
          <w:ilvl w:val="0"/>
          <w:numId w:val="9"/>
        </w:numPr>
        <w:tabs>
          <w:tab w:val="clear" w:pos="708"/>
          <w:tab w:val="left" w:pos="0" w:leader="none"/>
          <w:tab w:val="left" w:pos="720" w:leader="none"/>
        </w:tabs>
        <w:jc w:val="both"/>
        <w:rPr>
          <w:sz w:val="24"/>
          <w:szCs w:val="24"/>
          <w:lang w:val="uk-UA"/>
        </w:rPr>
      </w:pPr>
      <w:r>
        <w:rPr>
          <w:color w:val="00000A"/>
          <w:sz w:val="24"/>
          <w:szCs w:val="24"/>
          <w:lang w:val="uk-UA"/>
        </w:rPr>
        <w:t>Простежити за станом хворого після виконання практичної навички</w:t>
      </w:r>
    </w:p>
    <w:p>
      <w:pPr>
        <w:pStyle w:val="Standard"/>
        <w:widowControl w:val="false"/>
        <w:numPr>
          <w:ilvl w:val="0"/>
          <w:numId w:val="9"/>
        </w:numPr>
        <w:tabs>
          <w:tab w:val="clear" w:pos="708"/>
          <w:tab w:val="left" w:pos="0" w:leader="none"/>
          <w:tab w:val="left" w:pos="720" w:leader="none"/>
        </w:tabs>
        <w:jc w:val="both"/>
        <w:rPr>
          <w:sz w:val="24"/>
          <w:szCs w:val="24"/>
          <w:lang w:val="uk-UA"/>
        </w:rPr>
      </w:pPr>
      <w:r>
        <w:rPr>
          <w:color w:val="00000A"/>
          <w:sz w:val="24"/>
          <w:szCs w:val="24"/>
          <w:lang w:val="uk-UA"/>
        </w:rPr>
        <w:t>Надати психологічну допомогу пацієнтам</w:t>
      </w:r>
    </w:p>
    <w:p>
      <w:pPr>
        <w:pStyle w:val="Standard"/>
        <w:widowControl w:val="false"/>
        <w:numPr>
          <w:ilvl w:val="0"/>
          <w:numId w:val="9"/>
        </w:numPr>
        <w:tabs>
          <w:tab w:val="clear" w:pos="708"/>
          <w:tab w:val="left" w:pos="0" w:leader="none"/>
          <w:tab w:val="left" w:pos="720" w:leader="none"/>
        </w:tabs>
        <w:jc w:val="both"/>
        <w:rPr>
          <w:sz w:val="24"/>
          <w:szCs w:val="24"/>
          <w:lang w:val="uk-UA"/>
        </w:rPr>
      </w:pPr>
      <w:r>
        <w:rPr>
          <w:color w:val="00000A"/>
          <w:sz w:val="24"/>
          <w:szCs w:val="24"/>
          <w:lang w:val="uk-UA"/>
        </w:rPr>
        <w:t>Вирішувати деонтологічні завдання, пов'язані з професійною діяльністю</w:t>
      </w:r>
    </w:p>
    <w:p>
      <w:pPr>
        <w:pStyle w:val="Standard"/>
        <w:widowControl w:val="false"/>
        <w:numPr>
          <w:ilvl w:val="0"/>
          <w:numId w:val="9"/>
        </w:numPr>
        <w:tabs>
          <w:tab w:val="clear" w:pos="708"/>
          <w:tab w:val="left" w:pos="0" w:leader="none"/>
          <w:tab w:val="left" w:pos="720" w:leader="none"/>
        </w:tabs>
        <w:jc w:val="both"/>
        <w:rPr>
          <w:sz w:val="24"/>
          <w:szCs w:val="24"/>
          <w:lang w:val="uk-UA"/>
        </w:rPr>
      </w:pPr>
      <w:bookmarkStart w:id="57" w:name="_Hlk34679324"/>
      <w:bookmarkEnd w:id="57"/>
      <w:r>
        <w:rPr>
          <w:iCs/>
          <w:color w:val="00000A"/>
          <w:sz w:val="24"/>
          <w:szCs w:val="24"/>
          <w:lang w:val="uk-UA"/>
        </w:rPr>
        <w:t>Володіти навичками професійного спілкування</w:t>
      </w:r>
    </w:p>
    <w:p>
      <w:pPr>
        <w:pStyle w:val="Standard"/>
        <w:tabs>
          <w:tab w:val="clear" w:pos="708"/>
          <w:tab w:val="left" w:pos="142" w:leader="none"/>
        </w:tabs>
        <w:spacing w:lineRule="auto" w:line="240" w:before="0" w:after="0"/>
        <w:jc w:val="both"/>
        <w:rPr>
          <w:rFonts w:ascii="Times New Roman" w:hAnsi="Times New Roman" w:eastAsia="Times New Roman"/>
          <w:b/>
          <w:b/>
          <w:sz w:val="24"/>
          <w:szCs w:val="24"/>
          <w:lang w:val="uk-UA" w:eastAsia="zh-CN"/>
        </w:rPr>
      </w:pPr>
      <w:r>
        <w:rPr>
          <w:rFonts w:eastAsia="Times New Roman"/>
          <w:b/>
          <w:sz w:val="24"/>
          <w:szCs w:val="24"/>
          <w:lang w:val="uk-UA" w:eastAsia="zh-CN"/>
        </w:rPr>
      </w:r>
    </w:p>
    <w:p>
      <w:pPr>
        <w:pStyle w:val="ListParagraph"/>
        <w:widowControl w:val="false"/>
        <w:numPr>
          <w:ilvl w:val="0"/>
          <w:numId w:val="40"/>
        </w:numPr>
        <w:tabs>
          <w:tab w:val="clear" w:pos="708"/>
          <w:tab w:val="left" w:pos="0" w:leader="none"/>
        </w:tabs>
        <w:ind w:left="0" w:firstLine="709"/>
        <w:jc w:val="center"/>
        <w:rPr>
          <w:sz w:val="24"/>
          <w:szCs w:val="24"/>
          <w:lang w:val="uk-UA"/>
        </w:rPr>
      </w:pPr>
      <w:r>
        <w:rPr>
          <w:b/>
          <w:bCs/>
          <w:color w:val="0070C0"/>
          <w:sz w:val="24"/>
          <w:szCs w:val="24"/>
          <w:lang w:val="uk-UA"/>
        </w:rPr>
        <w:t xml:space="preserve">ОПИС </w:t>
      </w:r>
      <w:r>
        <w:rPr>
          <w:caps/>
          <w:sz w:val="24"/>
          <w:szCs w:val="24"/>
          <w:lang w:val="uk-UA"/>
        </w:rPr>
        <w:t>ПРАКТИКИ</w:t>
      </w:r>
    </w:p>
    <w:p>
      <w:pPr>
        <w:pStyle w:val="ListParagraph"/>
        <w:widowControl w:val="false"/>
        <w:numPr>
          <w:ilvl w:val="0"/>
          <w:numId w:val="41"/>
        </w:numPr>
        <w:tabs>
          <w:tab w:val="clear" w:pos="708"/>
          <w:tab w:val="left" w:pos="0" w:leader="none"/>
        </w:tabs>
        <w:ind w:left="0" w:firstLine="709"/>
        <w:jc w:val="center"/>
        <w:rPr>
          <w:b/>
          <w:b/>
          <w:bCs/>
          <w:color w:val="0070C0"/>
          <w:sz w:val="24"/>
          <w:szCs w:val="24"/>
          <w:lang w:val="uk-UA"/>
        </w:rPr>
      </w:pPr>
      <w:r>
        <w:rPr>
          <w:b/>
          <w:bCs/>
          <w:color w:val="0070C0"/>
          <w:sz w:val="24"/>
          <w:szCs w:val="24"/>
          <w:lang w:val="uk-UA"/>
        </w:rPr>
      </w:r>
    </w:p>
    <w:p>
      <w:pPr>
        <w:pStyle w:val="Standard"/>
        <w:numPr>
          <w:ilvl w:val="0"/>
          <w:numId w:val="42"/>
        </w:numPr>
        <w:tabs>
          <w:tab w:val="clear" w:pos="708"/>
          <w:tab w:val="left" w:pos="0" w:leader="none"/>
          <w:tab w:val="left" w:pos="142" w:leader="none"/>
        </w:tabs>
        <w:spacing w:lineRule="auto" w:line="240" w:before="0" w:after="0"/>
        <w:ind w:left="0" w:firstLine="709"/>
        <w:jc w:val="both"/>
        <w:rPr>
          <w:sz w:val="24"/>
          <w:szCs w:val="24"/>
          <w:lang w:val="uk-UA"/>
        </w:rPr>
      </w:pPr>
      <w:r>
        <w:rPr>
          <w:i/>
          <w:sz w:val="24"/>
          <w:szCs w:val="24"/>
          <w:lang w:val="uk-UA"/>
        </w:rPr>
        <w:t>Форми і методи навчання.</w:t>
      </w:r>
      <w:r>
        <w:rPr>
          <w:sz w:val="24"/>
          <w:szCs w:val="24"/>
          <w:lang w:val="uk-UA"/>
        </w:rPr>
        <w:t xml:space="preserve"> Дисципліна</w:t>
      </w:r>
      <w:r>
        <w:rPr>
          <w:rFonts w:eastAsia="Times New Roman"/>
          <w:sz w:val="24"/>
          <w:szCs w:val="24"/>
          <w:lang w:val="uk-UA" w:eastAsia="zh-CN"/>
        </w:rPr>
        <w:t xml:space="preserve"> буде викладатися у формі лекцій (4 год.); практичних занять (60 год.); організації самостійної роботи здобувачів (56 год.).</w:t>
      </w:r>
    </w:p>
    <w:p>
      <w:pPr>
        <w:pStyle w:val="Standard"/>
        <w:numPr>
          <w:ilvl w:val="0"/>
          <w:numId w:val="43"/>
        </w:numPr>
        <w:tabs>
          <w:tab w:val="clear" w:pos="708"/>
          <w:tab w:val="left" w:pos="0" w:leader="none"/>
          <w:tab w:val="left" w:pos="142" w:leader="none"/>
        </w:tabs>
        <w:spacing w:lineRule="auto" w:line="240" w:before="0" w:after="0"/>
        <w:ind w:left="0" w:firstLine="709"/>
        <w:jc w:val="both"/>
        <w:rPr>
          <w:sz w:val="24"/>
          <w:szCs w:val="24"/>
          <w:lang w:val="uk-UA"/>
        </w:rPr>
      </w:pPr>
      <w:r>
        <w:rPr>
          <w:rFonts w:eastAsia="Times New Roman"/>
          <w:sz w:val="24"/>
          <w:szCs w:val="24"/>
          <w:lang w:val="uk-UA" w:eastAsia="zh-CN"/>
        </w:rPr>
        <w:t>Консультації — індивідуальні.</w:t>
      </w:r>
    </w:p>
    <w:p>
      <w:pPr>
        <w:pStyle w:val="Standard"/>
        <w:numPr>
          <w:ilvl w:val="0"/>
          <w:numId w:val="44"/>
        </w:numPr>
        <w:tabs>
          <w:tab w:val="clear" w:pos="708"/>
          <w:tab w:val="left" w:pos="0" w:leader="none"/>
          <w:tab w:val="left" w:pos="142" w:leader="none"/>
        </w:tabs>
        <w:spacing w:lineRule="auto" w:line="240" w:before="0" w:after="0"/>
        <w:ind w:left="0" w:firstLine="709"/>
        <w:jc w:val="both"/>
        <w:rPr>
          <w:sz w:val="24"/>
          <w:szCs w:val="24"/>
          <w:lang w:val="uk-UA"/>
        </w:rPr>
      </w:pPr>
      <w:r>
        <w:rPr>
          <w:rFonts w:eastAsia="Times New Roman"/>
          <w:i/>
          <w:iCs/>
          <w:sz w:val="24"/>
          <w:szCs w:val="24"/>
          <w:lang w:val="uk-UA" w:eastAsia="zh-CN"/>
        </w:rPr>
        <w:t>Методи навчання.</w:t>
      </w:r>
    </w:p>
    <w:p>
      <w:pPr>
        <w:pStyle w:val="Standard"/>
        <w:numPr>
          <w:ilvl w:val="0"/>
          <w:numId w:val="45"/>
        </w:numPr>
        <w:tabs>
          <w:tab w:val="clear" w:pos="708"/>
          <w:tab w:val="left" w:pos="0" w:leader="none"/>
          <w:tab w:val="left" w:pos="142" w:leader="none"/>
        </w:tabs>
        <w:spacing w:lineRule="auto" w:line="240" w:before="0" w:after="0"/>
        <w:ind w:left="0" w:firstLine="709"/>
        <w:jc w:val="both"/>
        <w:rPr>
          <w:sz w:val="24"/>
          <w:szCs w:val="24"/>
          <w:lang w:val="uk-UA"/>
        </w:rPr>
      </w:pPr>
      <w:r>
        <w:rPr>
          <w:rFonts w:eastAsia="Times New Roman"/>
          <w:bCs/>
          <w:i/>
          <w:iCs/>
          <w:color w:val="000000"/>
          <w:sz w:val="24"/>
          <w:szCs w:val="24"/>
          <w:lang w:val="uk-UA" w:eastAsia="zh-CN"/>
        </w:rPr>
        <w:t xml:space="preserve">Практичні заняття: </w:t>
      </w:r>
      <w:r>
        <w:rPr>
          <w:rFonts w:eastAsia="Times New Roman"/>
          <w:bCs/>
          <w:color w:val="000000"/>
          <w:sz w:val="24"/>
          <w:szCs w:val="24"/>
          <w:lang w:val="uk-UA" w:eastAsia="uk-UA"/>
        </w:rPr>
        <w:t>бесіда, рольові ігри, розв’язування клінічних ситуаційних задач, відпрацювання та контроль практичних навичок</w:t>
      </w:r>
      <w:r>
        <w:rPr>
          <w:rFonts w:eastAsia="Times New Roman"/>
          <w:bCs/>
          <w:color w:val="000000"/>
          <w:sz w:val="24"/>
          <w:szCs w:val="24"/>
          <w:lang w:val="uk-UA" w:eastAsia="zh-CN"/>
        </w:rPr>
        <w:t xml:space="preserve"> на симуляційних муляжах та манекенах, </w:t>
      </w:r>
      <w:r>
        <w:rPr>
          <w:rFonts w:eastAsia="Times New Roman"/>
          <w:bCs/>
          <w:color w:val="000000"/>
          <w:sz w:val="24"/>
          <w:szCs w:val="24"/>
          <w:lang w:val="uk-UA" w:eastAsia="uk-UA"/>
        </w:rPr>
        <w:t>проходження симуляційних сценаріїв, розв’язування тестових завдань.</w:t>
      </w:r>
    </w:p>
    <w:p>
      <w:pPr>
        <w:pStyle w:val="Standard"/>
        <w:numPr>
          <w:ilvl w:val="0"/>
          <w:numId w:val="46"/>
        </w:numPr>
        <w:tabs>
          <w:tab w:val="clear" w:pos="708"/>
          <w:tab w:val="left" w:pos="0" w:leader="none"/>
          <w:tab w:val="left" w:pos="142" w:leader="none"/>
        </w:tabs>
        <w:spacing w:lineRule="auto" w:line="240" w:before="0" w:after="0"/>
        <w:ind w:left="0" w:firstLine="709"/>
        <w:jc w:val="both"/>
        <w:rPr>
          <w:sz w:val="24"/>
          <w:szCs w:val="24"/>
          <w:lang w:val="uk-UA"/>
        </w:rPr>
      </w:pPr>
      <w:r>
        <w:rPr>
          <w:rFonts w:eastAsia="Times New Roman"/>
          <w:bCs/>
          <w:i/>
          <w:iCs/>
          <w:color w:val="000000"/>
          <w:sz w:val="24"/>
          <w:szCs w:val="24"/>
          <w:lang w:val="uk-UA" w:eastAsia="uk-UA"/>
        </w:rPr>
        <w:t xml:space="preserve">Самостійна робота: </w:t>
      </w:r>
      <w:r>
        <w:rPr>
          <w:rFonts w:eastAsia="Times New Roman"/>
          <w:bCs/>
          <w:color w:val="000000"/>
          <w:sz w:val="24"/>
          <w:szCs w:val="24"/>
          <w:lang w:val="uk-UA" w:eastAsia="uk-UA"/>
        </w:rPr>
        <w:t>самостійна робота з рекомендованою основною та додатковою літературою, електронними інформаційними ресурсами, самостійна робота з банком тестових завдань, підготовка до практичних занять.</w:t>
      </w:r>
    </w:p>
    <w:p>
      <w:pPr>
        <w:pStyle w:val="Standard"/>
        <w:tabs>
          <w:tab w:val="clear" w:pos="708"/>
          <w:tab w:val="left" w:pos="142" w:leader="none"/>
        </w:tabs>
        <w:spacing w:lineRule="auto" w:line="240" w:before="0" w:after="0"/>
        <w:jc w:val="both"/>
        <w:rPr>
          <w:rFonts w:ascii="Times New Roman" w:hAnsi="Times New Roman" w:eastAsia="Times New Roman"/>
          <w:sz w:val="24"/>
          <w:szCs w:val="24"/>
          <w:lang w:val="uk-UA" w:eastAsia="zh-CN"/>
        </w:rPr>
      </w:pPr>
      <w:r>
        <w:rPr>
          <w:rFonts w:eastAsia="Times New Roman"/>
          <w:sz w:val="24"/>
          <w:szCs w:val="24"/>
          <w:lang w:val="uk-UA" w:eastAsia="zh-CN"/>
        </w:rPr>
      </w:r>
    </w:p>
    <w:p>
      <w:pPr>
        <w:pStyle w:val="Standard"/>
        <w:numPr>
          <w:ilvl w:val="0"/>
          <w:numId w:val="47"/>
        </w:numPr>
        <w:tabs>
          <w:tab w:val="clear" w:pos="708"/>
          <w:tab w:val="left" w:pos="142" w:leader="none"/>
        </w:tabs>
        <w:spacing w:lineRule="auto" w:line="240" w:before="0" w:after="0"/>
        <w:ind w:left="0" w:firstLine="709"/>
        <w:jc w:val="both"/>
        <w:rPr>
          <w:sz w:val="24"/>
          <w:szCs w:val="24"/>
          <w:lang w:val="uk-UA"/>
        </w:rPr>
      </w:pPr>
      <w:r>
        <w:rPr>
          <w:i/>
          <w:sz w:val="24"/>
          <w:szCs w:val="24"/>
          <w:lang w:val="uk-UA"/>
        </w:rPr>
        <w:t>Зміст практики:</w:t>
      </w:r>
    </w:p>
    <w:p>
      <w:pPr>
        <w:pStyle w:val="Standard"/>
        <w:tabs>
          <w:tab w:val="clear" w:pos="708"/>
          <w:tab w:val="left" w:pos="0" w:leader="none"/>
        </w:tabs>
        <w:spacing w:lineRule="auto" w:line="240" w:before="0" w:after="0"/>
        <w:ind w:firstLine="709"/>
        <w:jc w:val="both"/>
        <w:rPr/>
      </w:pPr>
      <w:r>
        <w:rPr>
          <w:rFonts w:eastAsia="TimesNewRoman"/>
          <w:sz w:val="24"/>
          <w:szCs w:val="24"/>
          <w:lang w:val="uk-UA" w:eastAsia="ru-RU"/>
        </w:rPr>
        <w:t xml:space="preserve">Тема 1. Первинний огляд постраждалого та надання первинної медичної допомоги </w:t>
      </w:r>
      <w:r>
        <w:rPr>
          <w:rStyle w:val="Style19"/>
          <w:rFonts w:eastAsia="Arial CYR"/>
          <w:b w:val="false"/>
          <w:bCs w:val="false"/>
          <w:spacing w:val="6"/>
          <w:sz w:val="24"/>
          <w:szCs w:val="24"/>
          <w:lang w:val="uk-UA" w:eastAsia="ru-RU" w:bidi="hi-IN"/>
        </w:rPr>
        <w:t>за системами ABCDE та SAMPLE</w:t>
      </w:r>
    </w:p>
    <w:p>
      <w:pPr>
        <w:pStyle w:val="Standard"/>
        <w:tabs>
          <w:tab w:val="clear" w:pos="708"/>
          <w:tab w:val="left" w:pos="0" w:leader="none"/>
        </w:tabs>
        <w:spacing w:lineRule="auto" w:line="240" w:before="0" w:after="0"/>
        <w:ind w:firstLine="709"/>
        <w:jc w:val="both"/>
        <w:rPr>
          <w:sz w:val="24"/>
          <w:szCs w:val="24"/>
          <w:lang w:val="uk-UA"/>
        </w:rPr>
      </w:pPr>
      <w:r>
        <w:rPr>
          <w:rFonts w:eastAsia="TimesNewRoman"/>
          <w:sz w:val="24"/>
          <w:szCs w:val="24"/>
          <w:lang w:val="uk-UA" w:eastAsia="ru-RU"/>
        </w:rPr>
        <w:t>Тема 2. Невідкладні стани та базові навички підтримки життєдіяльності у критичних ситуаціях</w:t>
      </w:r>
    </w:p>
    <w:p>
      <w:pPr>
        <w:pStyle w:val="Standard"/>
        <w:tabs>
          <w:tab w:val="clear" w:pos="708"/>
          <w:tab w:val="left" w:pos="0" w:leader="none"/>
        </w:tabs>
        <w:spacing w:lineRule="auto" w:line="240" w:before="0" w:after="0"/>
        <w:ind w:firstLine="709"/>
        <w:jc w:val="both"/>
        <w:rPr>
          <w:sz w:val="24"/>
          <w:szCs w:val="24"/>
          <w:lang w:val="uk-UA"/>
        </w:rPr>
      </w:pPr>
      <w:r>
        <w:rPr>
          <w:rFonts w:eastAsia="TimesNewRoman"/>
          <w:sz w:val="24"/>
          <w:szCs w:val="24"/>
          <w:lang w:val="uk-UA" w:eastAsia="ru-RU"/>
        </w:rPr>
        <w:t xml:space="preserve">Тема 3. </w:t>
      </w:r>
      <w:r>
        <w:rPr>
          <w:rFonts w:eastAsia="TimesNewRoman"/>
          <w:sz w:val="24"/>
          <w:szCs w:val="24"/>
          <w:lang w:val="uk-UA" w:eastAsia="ru-RU" w:bidi="hi-IN"/>
        </w:rPr>
        <w:t>Тестовий контроль вхідного рівня знань</w:t>
      </w:r>
    </w:p>
    <w:p>
      <w:pPr>
        <w:pStyle w:val="Standard"/>
        <w:tabs>
          <w:tab w:val="clear" w:pos="708"/>
          <w:tab w:val="left" w:pos="0" w:leader="none"/>
        </w:tabs>
        <w:spacing w:lineRule="auto" w:line="240" w:before="0" w:after="0"/>
        <w:ind w:firstLine="709"/>
        <w:jc w:val="both"/>
        <w:rPr>
          <w:sz w:val="24"/>
          <w:szCs w:val="24"/>
          <w:lang w:val="uk-UA"/>
        </w:rPr>
      </w:pPr>
      <w:r>
        <w:rPr>
          <w:rFonts w:eastAsia="TimesNewRoman"/>
          <w:sz w:val="24"/>
          <w:szCs w:val="24"/>
          <w:lang w:val="uk-UA" w:eastAsia="ru-RU"/>
        </w:rPr>
        <w:t xml:space="preserve">Тема 4. </w:t>
      </w:r>
      <w:r>
        <w:rPr>
          <w:rFonts w:eastAsia="TimesNewRoman"/>
          <w:sz w:val="24"/>
          <w:szCs w:val="24"/>
          <w:lang w:val="uk-UA" w:eastAsia="ru-RU" w:bidi="hi-IN"/>
        </w:rPr>
        <w:t>Базова підтримка життєдіяльності</w:t>
      </w:r>
    </w:p>
    <w:p>
      <w:pPr>
        <w:pStyle w:val="Standard"/>
        <w:tabs>
          <w:tab w:val="clear" w:pos="708"/>
          <w:tab w:val="left" w:pos="0" w:leader="none"/>
        </w:tabs>
        <w:spacing w:lineRule="auto" w:line="240" w:before="0" w:after="0"/>
        <w:ind w:firstLine="709"/>
        <w:jc w:val="both"/>
        <w:rPr>
          <w:sz w:val="24"/>
          <w:szCs w:val="24"/>
          <w:lang w:val="uk-UA"/>
        </w:rPr>
      </w:pPr>
      <w:r>
        <w:rPr>
          <w:rFonts w:eastAsia="TimesNewRoman"/>
          <w:sz w:val="24"/>
          <w:szCs w:val="24"/>
          <w:lang w:val="uk-UA" w:eastAsia="ru-RU"/>
        </w:rPr>
        <w:t xml:space="preserve">Тема 5. </w:t>
      </w:r>
      <w:r>
        <w:rPr>
          <w:rFonts w:eastAsia="Times New Roman"/>
          <w:spacing w:val="6"/>
          <w:sz w:val="24"/>
          <w:szCs w:val="24"/>
          <w:lang w:val="uk-UA" w:eastAsia="uk-UA" w:bidi="hi-IN"/>
        </w:rPr>
        <w:t>С. Надання допомоги при масивній (критичній) кровотечі</w:t>
      </w:r>
    </w:p>
    <w:p>
      <w:pPr>
        <w:pStyle w:val="Standard"/>
        <w:tabs>
          <w:tab w:val="clear" w:pos="708"/>
          <w:tab w:val="left" w:pos="0" w:leader="none"/>
        </w:tabs>
        <w:spacing w:lineRule="auto" w:line="240" w:before="0" w:after="0"/>
        <w:ind w:firstLine="709"/>
        <w:jc w:val="both"/>
        <w:rPr>
          <w:sz w:val="24"/>
          <w:szCs w:val="24"/>
          <w:lang w:val="uk-UA"/>
        </w:rPr>
      </w:pPr>
      <w:r>
        <w:rPr>
          <w:sz w:val="24"/>
          <w:szCs w:val="24"/>
          <w:lang w:val="uk-UA"/>
        </w:rPr>
        <w:t xml:space="preserve">Тема 6. </w:t>
      </w:r>
      <w:r>
        <w:rPr>
          <w:sz w:val="24"/>
          <w:szCs w:val="24"/>
          <w:lang w:val="uk-UA" w:bidi="hi-IN"/>
        </w:rPr>
        <w:t>А. Забезпечення прохідності дихальних шляхів</w:t>
      </w:r>
    </w:p>
    <w:p>
      <w:pPr>
        <w:pStyle w:val="Standard"/>
        <w:tabs>
          <w:tab w:val="clear" w:pos="708"/>
          <w:tab w:val="left" w:pos="0" w:leader="none"/>
        </w:tabs>
        <w:spacing w:lineRule="auto" w:line="240" w:before="0" w:after="0"/>
        <w:ind w:firstLine="709"/>
        <w:jc w:val="both"/>
        <w:rPr>
          <w:sz w:val="24"/>
          <w:szCs w:val="24"/>
          <w:lang w:val="uk-UA"/>
        </w:rPr>
      </w:pPr>
      <w:r>
        <w:rPr>
          <w:sz w:val="24"/>
          <w:szCs w:val="24"/>
          <w:lang w:val="uk-UA"/>
        </w:rPr>
        <w:t xml:space="preserve">Тема 7. </w:t>
      </w:r>
      <w:r>
        <w:rPr>
          <w:rFonts w:eastAsia="Times New Roman"/>
          <w:color w:val="00000A"/>
          <w:spacing w:val="6"/>
          <w:sz w:val="24"/>
          <w:szCs w:val="24"/>
          <w:lang w:val="uk-UA" w:eastAsia="uk-UA" w:bidi="hi-IN"/>
        </w:rPr>
        <w:t>В. Забезпечення дихання та вентиляції</w:t>
      </w:r>
    </w:p>
    <w:p>
      <w:pPr>
        <w:pStyle w:val="Standard"/>
        <w:tabs>
          <w:tab w:val="clear" w:pos="708"/>
          <w:tab w:val="left" w:pos="0" w:leader="none"/>
        </w:tabs>
        <w:spacing w:lineRule="auto" w:line="240" w:before="0" w:after="0"/>
        <w:ind w:firstLine="709"/>
        <w:jc w:val="both"/>
        <w:rPr>
          <w:sz w:val="24"/>
          <w:szCs w:val="24"/>
          <w:lang w:val="uk-UA"/>
        </w:rPr>
      </w:pPr>
      <w:r>
        <w:rPr>
          <w:rFonts w:eastAsia="DengXian, SimSun"/>
          <w:color w:val="00000A"/>
          <w:spacing w:val="6"/>
          <w:sz w:val="24"/>
          <w:szCs w:val="24"/>
          <w:lang w:val="uk-UA" w:eastAsia="ru-RU" w:bidi="hi-IN"/>
        </w:rPr>
        <w:t xml:space="preserve">Тема 8. С. </w:t>
      </w:r>
      <w:r>
        <w:rPr>
          <w:rFonts w:eastAsia="Droid Sans Fallback" w:cs="FreeSans"/>
          <w:color w:val="00000A"/>
          <w:spacing w:val="6"/>
          <w:sz w:val="24"/>
          <w:szCs w:val="24"/>
          <w:lang w:val="uk-UA" w:eastAsia="zh-CN" w:bidi="hi-IN"/>
        </w:rPr>
        <w:t>Діагностика порушень та відновлення</w:t>
      </w:r>
      <w:r>
        <w:rPr>
          <w:rFonts w:eastAsia="DengXian, SimSun"/>
          <w:color w:val="00000A"/>
          <w:spacing w:val="6"/>
          <w:sz w:val="24"/>
          <w:szCs w:val="24"/>
          <w:lang w:val="uk-UA" w:eastAsia="ru-RU" w:bidi="hi-IN"/>
        </w:rPr>
        <w:t xml:space="preserve"> кровообігу</w:t>
      </w:r>
    </w:p>
    <w:p>
      <w:pPr>
        <w:pStyle w:val="Standard"/>
        <w:tabs>
          <w:tab w:val="clear" w:pos="708"/>
          <w:tab w:val="left" w:pos="0" w:leader="none"/>
        </w:tabs>
        <w:spacing w:lineRule="auto" w:line="240" w:before="0" w:after="0"/>
        <w:ind w:firstLine="709"/>
        <w:jc w:val="both"/>
        <w:rPr>
          <w:sz w:val="24"/>
          <w:szCs w:val="24"/>
          <w:lang w:val="uk-UA"/>
        </w:rPr>
      </w:pPr>
      <w:r>
        <w:rPr>
          <w:rFonts w:eastAsia="Arial CYR"/>
          <w:color w:val="00000A"/>
          <w:spacing w:val="6"/>
          <w:sz w:val="24"/>
          <w:szCs w:val="24"/>
          <w:lang w:val="uk-UA" w:eastAsia="ru-RU" w:bidi="hi-IN"/>
        </w:rPr>
        <w:t>Тема 9. D. Проведення неврологічного огляду</w:t>
      </w:r>
    </w:p>
    <w:p>
      <w:pPr>
        <w:pStyle w:val="Standard"/>
        <w:tabs>
          <w:tab w:val="clear" w:pos="708"/>
          <w:tab w:val="left" w:pos="0" w:leader="none"/>
        </w:tabs>
        <w:spacing w:lineRule="auto" w:line="240" w:before="0" w:after="0"/>
        <w:ind w:firstLine="709"/>
        <w:jc w:val="both"/>
        <w:rPr>
          <w:sz w:val="24"/>
          <w:szCs w:val="24"/>
          <w:lang w:val="uk-UA"/>
        </w:rPr>
      </w:pPr>
      <w:r>
        <w:rPr>
          <w:rFonts w:eastAsia="Arial CYR"/>
          <w:color w:val="00000A"/>
          <w:spacing w:val="6"/>
          <w:sz w:val="24"/>
          <w:szCs w:val="24"/>
          <w:lang w:val="uk-UA" w:eastAsia="ru-RU" w:bidi="hi-IN"/>
        </w:rPr>
        <w:t xml:space="preserve">Тема 10. </w:t>
      </w:r>
      <w:r>
        <w:rPr>
          <w:rFonts w:eastAsia="DengXian, SimSun"/>
          <w:color w:val="00000A"/>
          <w:spacing w:val="6"/>
          <w:sz w:val="24"/>
          <w:szCs w:val="24"/>
          <w:lang w:val="uk-UA" w:eastAsia="ru-RU" w:bidi="hi-IN"/>
        </w:rPr>
        <w:t>Е. Проведення повного додаткового огляду</w:t>
      </w:r>
    </w:p>
    <w:p>
      <w:pPr>
        <w:pStyle w:val="Standard"/>
        <w:tabs>
          <w:tab w:val="clear" w:pos="708"/>
          <w:tab w:val="left" w:pos="0" w:leader="none"/>
        </w:tabs>
        <w:spacing w:lineRule="auto" w:line="240" w:before="0" w:after="0"/>
        <w:ind w:firstLine="709"/>
        <w:jc w:val="both"/>
        <w:rPr>
          <w:sz w:val="24"/>
          <w:szCs w:val="24"/>
          <w:lang w:val="uk-UA"/>
        </w:rPr>
      </w:pPr>
      <w:r>
        <w:rPr>
          <w:rFonts w:eastAsia="Arial CYR"/>
          <w:color w:val="00000A"/>
          <w:spacing w:val="6"/>
          <w:sz w:val="24"/>
          <w:szCs w:val="24"/>
          <w:lang w:val="uk-UA" w:eastAsia="ru-RU" w:bidi="hi-IN"/>
        </w:rPr>
        <w:t xml:space="preserve">Тема 11. </w:t>
      </w:r>
      <w:r>
        <w:rPr>
          <w:rFonts w:eastAsia="DengXian, SimSun"/>
          <w:color w:val="000000"/>
          <w:spacing w:val="6"/>
          <w:sz w:val="24"/>
          <w:szCs w:val="24"/>
          <w:lang w:val="uk-UA" w:eastAsia="ru-RU" w:bidi="hi-IN"/>
        </w:rPr>
        <w:t xml:space="preserve">Особливості практичних навичок при допомозі вагітним, </w:t>
      </w:r>
      <w:r>
        <w:rPr>
          <w:rFonts w:eastAsia="DengXian, SimSun"/>
          <w:color w:val="000000"/>
          <w:spacing w:val="6"/>
          <w:kern w:val="2"/>
          <w:sz w:val="24"/>
          <w:szCs w:val="24"/>
          <w:lang w:val="uk-UA" w:eastAsia="ru-RU" w:bidi="hi-IN"/>
        </w:rPr>
        <w:t>постраждалим різних вікових груп</w:t>
      </w:r>
    </w:p>
    <w:p>
      <w:pPr>
        <w:pStyle w:val="Standard"/>
        <w:tabs>
          <w:tab w:val="clear" w:pos="708"/>
          <w:tab w:val="left" w:pos="0" w:leader="none"/>
        </w:tabs>
        <w:spacing w:lineRule="auto" w:line="240" w:before="0" w:after="0"/>
        <w:ind w:firstLine="709"/>
        <w:jc w:val="both"/>
        <w:rPr>
          <w:sz w:val="24"/>
          <w:szCs w:val="24"/>
          <w:lang w:val="uk-UA"/>
        </w:rPr>
      </w:pPr>
      <w:r>
        <w:rPr>
          <w:rFonts w:eastAsia="Arial CYR"/>
          <w:color w:val="00000A"/>
          <w:spacing w:val="6"/>
          <w:sz w:val="24"/>
          <w:szCs w:val="24"/>
          <w:lang w:val="uk-UA" w:eastAsia="ru-RU" w:bidi="hi-IN"/>
        </w:rPr>
        <w:t>Тема 12. Тестовий контроль вихідного рівня знань</w:t>
      </w:r>
      <w:r>
        <w:rPr>
          <w:rFonts w:eastAsia="Times New Roman"/>
          <w:color w:val="00000A"/>
          <w:spacing w:val="6"/>
          <w:sz w:val="24"/>
          <w:szCs w:val="24"/>
          <w:lang w:val="uk-UA" w:eastAsia="uk-UA" w:bidi="hi-IN"/>
        </w:rPr>
        <w:tab/>
      </w:r>
    </w:p>
    <w:p>
      <w:pPr>
        <w:pStyle w:val="Standard"/>
        <w:tabs>
          <w:tab w:val="clear" w:pos="708"/>
          <w:tab w:val="left" w:pos="0" w:leader="none"/>
        </w:tabs>
        <w:spacing w:lineRule="auto" w:line="240" w:before="0" w:after="0"/>
        <w:ind w:firstLine="709"/>
        <w:jc w:val="both"/>
        <w:rPr>
          <w:sz w:val="24"/>
          <w:szCs w:val="24"/>
          <w:lang w:val="uk-UA"/>
        </w:rPr>
      </w:pPr>
      <w:r>
        <w:rPr>
          <w:rFonts w:eastAsia="Times New Roman"/>
          <w:color w:val="00000A"/>
          <w:spacing w:val="6"/>
          <w:sz w:val="24"/>
          <w:szCs w:val="24"/>
          <w:lang w:val="uk-UA" w:eastAsia="uk-UA" w:bidi="hi-IN"/>
        </w:rPr>
        <w:t>Диференційований залік</w:t>
      </w:r>
    </w:p>
    <w:p>
      <w:pPr>
        <w:pStyle w:val="Standard"/>
        <w:tabs>
          <w:tab w:val="clear" w:pos="708"/>
          <w:tab w:val="left" w:pos="0" w:leader="none"/>
          <w:tab w:val="left" w:pos="142" w:leader="none"/>
        </w:tabs>
        <w:spacing w:lineRule="auto" w:line="240" w:before="0" w:after="0"/>
        <w:ind w:firstLine="709"/>
        <w:jc w:val="both"/>
        <w:rPr>
          <w:rFonts w:ascii="Times New Roman" w:hAnsi="Times New Roman"/>
          <w:i/>
          <w:i/>
          <w:sz w:val="24"/>
          <w:szCs w:val="24"/>
          <w:lang w:val="uk-UA"/>
        </w:rPr>
      </w:pPr>
      <w:r>
        <w:rPr>
          <w:i/>
          <w:sz w:val="24"/>
          <w:szCs w:val="24"/>
          <w:lang w:val="uk-UA"/>
        </w:rPr>
      </w:r>
    </w:p>
    <w:p>
      <w:pPr>
        <w:pStyle w:val="Standard"/>
        <w:tabs>
          <w:tab w:val="clear" w:pos="708"/>
          <w:tab w:val="left" w:pos="0" w:leader="none"/>
          <w:tab w:val="left" w:pos="142" w:leader="none"/>
        </w:tabs>
        <w:spacing w:lineRule="auto" w:line="240" w:before="0" w:after="0"/>
        <w:ind w:firstLine="709"/>
        <w:jc w:val="both"/>
        <w:rPr>
          <w:sz w:val="24"/>
          <w:szCs w:val="24"/>
          <w:lang w:val="uk-UA"/>
        </w:rPr>
      </w:pPr>
      <w:r>
        <w:rPr>
          <w:i/>
          <w:sz w:val="24"/>
          <w:szCs w:val="24"/>
          <w:lang w:val="uk-UA"/>
        </w:rPr>
        <w:t>Перелік рекомендованої літератури:</w:t>
      </w:r>
    </w:p>
    <w:p>
      <w:pPr>
        <w:pStyle w:val="Standard"/>
        <w:tabs>
          <w:tab w:val="clear" w:pos="708"/>
          <w:tab w:val="left" w:pos="0" w:leader="none"/>
          <w:tab w:val="left" w:pos="142" w:leader="none"/>
        </w:tabs>
        <w:spacing w:lineRule="auto" w:line="240" w:before="0" w:after="0"/>
        <w:ind w:firstLine="709"/>
        <w:jc w:val="both"/>
        <w:rPr>
          <w:rFonts w:ascii="Times New Roman" w:hAnsi="Times New Roman"/>
          <w:i/>
          <w:i/>
          <w:sz w:val="24"/>
          <w:szCs w:val="24"/>
          <w:lang w:val="uk-UA"/>
        </w:rPr>
      </w:pPr>
      <w:r>
        <w:rPr>
          <w:i/>
          <w:sz w:val="24"/>
          <w:szCs w:val="24"/>
          <w:lang w:val="uk-UA"/>
        </w:rPr>
      </w:r>
    </w:p>
    <w:p>
      <w:pPr>
        <w:pStyle w:val="Standard"/>
        <w:tabs>
          <w:tab w:val="clear" w:pos="708"/>
          <w:tab w:val="left" w:pos="0" w:leader="none"/>
          <w:tab w:val="left" w:pos="142" w:leader="none"/>
        </w:tabs>
        <w:spacing w:lineRule="auto" w:line="240" w:before="0" w:after="0"/>
        <w:ind w:firstLine="709"/>
        <w:jc w:val="both"/>
        <w:rPr>
          <w:sz w:val="24"/>
          <w:szCs w:val="24"/>
          <w:lang w:val="uk-UA"/>
        </w:rPr>
      </w:pPr>
      <w:r>
        <w:rPr>
          <w:i/>
          <w:sz w:val="24"/>
          <w:szCs w:val="24"/>
          <w:lang w:val="uk-UA"/>
        </w:rPr>
        <w:t>Основна:</w:t>
      </w:r>
    </w:p>
    <w:p>
      <w:pPr>
        <w:pStyle w:val="Standard"/>
        <w:widowControl w:val="false"/>
        <w:numPr>
          <w:ilvl w:val="0"/>
          <w:numId w:val="11"/>
        </w:numPr>
        <w:spacing w:before="0" w:after="0"/>
        <w:jc w:val="both"/>
        <w:rPr>
          <w:sz w:val="24"/>
          <w:szCs w:val="24"/>
          <w:lang w:val="uk-UA"/>
        </w:rPr>
      </w:pPr>
      <w:r>
        <w:rPr>
          <w:sz w:val="24"/>
          <w:szCs w:val="24"/>
          <w:lang w:val="uk-UA" w:eastAsia="ru-RU"/>
        </w:rPr>
        <w:t>Екстрена та невідкладна медична допомога. У VI Т. IV. Клінічні маршрути (протоколи) пацієнта під час надання екстреної медичної допомоги на догоспітальному етапі: підручник для студ. Вищ. Навч. Закл. / Крилюк В.О. та ін. – Київ: Ожива. – 2020. – 300 с.</w:t>
      </w:r>
    </w:p>
    <w:p>
      <w:pPr>
        <w:pStyle w:val="ListParagraph"/>
        <w:widowControl w:val="false"/>
        <w:numPr>
          <w:ilvl w:val="0"/>
          <w:numId w:val="11"/>
        </w:numPr>
        <w:jc w:val="both"/>
        <w:rPr>
          <w:sz w:val="24"/>
          <w:szCs w:val="24"/>
          <w:lang w:val="uk-UA"/>
        </w:rPr>
      </w:pPr>
      <w:r>
        <w:rPr>
          <w:sz w:val="24"/>
          <w:szCs w:val="24"/>
          <w:lang w:val="uk-UA"/>
        </w:rPr>
        <w:t>Екстрена та невідкладна медична допомога: Навчальний посібник для студентів вищих навчальних закладів МОЗ України. Рекомендовано Державною установою “Центральний методичний кабінет з вищої медичної освіти МОЗ України” /Шкурупій Д.А. (заред.).-2-ге вид.— 2018. — 240 с., чорноб.вид, пал.тв.</w:t>
      </w:r>
    </w:p>
    <w:p>
      <w:pPr>
        <w:pStyle w:val="ListParagraph"/>
        <w:numPr>
          <w:ilvl w:val="0"/>
          <w:numId w:val="11"/>
        </w:numPr>
        <w:rPr>
          <w:sz w:val="24"/>
          <w:szCs w:val="24"/>
          <w:lang w:val="uk-UA"/>
        </w:rPr>
      </w:pPr>
      <w:r>
        <w:rPr>
          <w:sz w:val="24"/>
          <w:szCs w:val="24"/>
          <w:lang w:val="uk-UA"/>
        </w:rPr>
        <w:t>Догляд за хворими і медична маніпуляційна техніка: навчальний посібник / Л.С. Савка, Л.І. Разінкова, О.І. Коцар, Л.М. Ковальчук, О.В. Кононов. — 4-е видання // К.: ВСВ “Медицина”, 2018. - 900 с.</w:t>
      </w:r>
    </w:p>
    <w:p>
      <w:pPr>
        <w:pStyle w:val="ListParagraph"/>
        <w:widowControl w:val="false"/>
        <w:numPr>
          <w:ilvl w:val="0"/>
          <w:numId w:val="11"/>
        </w:numPr>
        <w:jc w:val="both"/>
        <w:rPr>
          <w:sz w:val="24"/>
          <w:szCs w:val="24"/>
          <w:lang w:val="uk-UA"/>
        </w:rPr>
      </w:pPr>
      <w:r>
        <w:rPr>
          <w:sz w:val="24"/>
          <w:szCs w:val="24"/>
          <w:lang w:val="uk-UA"/>
        </w:rPr>
        <w:t>Касевич Н.М. Загальний догляд за хворими і медична маніпуляцій на техніка: підруч. для студ. вищ. мед. навч. закл. I-III рівнів акредитації / за ред. В.І. Литвиненка. - 7-ме вид., випр. - К. : Медицина, 2017. - 424 с.</w:t>
      </w:r>
    </w:p>
    <w:p>
      <w:pPr>
        <w:pStyle w:val="Standard"/>
        <w:widowControl w:val="false"/>
        <w:spacing w:before="0" w:after="0"/>
        <w:jc w:val="both"/>
        <w:rPr>
          <w:rFonts w:ascii="Times New Roman" w:hAnsi="Times New Roman"/>
          <w:sz w:val="24"/>
          <w:szCs w:val="24"/>
          <w:lang w:val="uk-UA"/>
        </w:rPr>
      </w:pPr>
      <w:r>
        <w:rPr>
          <w:sz w:val="24"/>
          <w:szCs w:val="24"/>
          <w:lang w:val="uk-UA"/>
        </w:rPr>
      </w:r>
    </w:p>
    <w:p>
      <w:pPr>
        <w:pStyle w:val="Standard"/>
        <w:tabs>
          <w:tab w:val="clear" w:pos="708"/>
          <w:tab w:val="left" w:pos="709" w:leader="none"/>
        </w:tabs>
        <w:spacing w:lineRule="auto" w:line="240" w:before="0" w:after="0"/>
        <w:ind w:firstLine="709"/>
        <w:jc w:val="both"/>
        <w:rPr>
          <w:sz w:val="24"/>
          <w:szCs w:val="24"/>
          <w:lang w:val="uk-UA"/>
        </w:rPr>
      </w:pPr>
      <w:r>
        <w:rPr>
          <w:i/>
          <w:iCs/>
          <w:sz w:val="24"/>
          <w:szCs w:val="24"/>
          <w:lang w:val="uk-UA"/>
        </w:rPr>
        <w:t>Додаткова:</w:t>
      </w:r>
    </w:p>
    <w:p>
      <w:pPr>
        <w:pStyle w:val="ListParagraph"/>
        <w:numPr>
          <w:ilvl w:val="0"/>
          <w:numId w:val="12"/>
        </w:numPr>
        <w:jc w:val="both"/>
        <w:rPr>
          <w:sz w:val="24"/>
          <w:szCs w:val="24"/>
          <w:lang w:val="uk-UA"/>
        </w:rPr>
      </w:pPr>
      <w:r>
        <w:rPr>
          <w:bCs/>
          <w:sz w:val="24"/>
          <w:szCs w:val="24"/>
          <w:lang w:val="uk-UA"/>
        </w:rPr>
        <w:t>Екстрена медична допомога травмованим на догоспітальному етапі: навчальний посібник / (В.О. Крилюк, С.О. Гур’єв, А.А. Гудима та ін.) - Київ, 2017</w:t>
      </w:r>
    </w:p>
    <w:p>
      <w:pPr>
        <w:pStyle w:val="ListParagraph"/>
        <w:numPr>
          <w:ilvl w:val="0"/>
          <w:numId w:val="12"/>
        </w:numPr>
        <w:jc w:val="both"/>
        <w:rPr>
          <w:sz w:val="24"/>
          <w:szCs w:val="24"/>
          <w:lang w:val="uk-UA"/>
        </w:rPr>
      </w:pPr>
      <w:r>
        <w:rPr>
          <w:bCs/>
          <w:sz w:val="24"/>
          <w:szCs w:val="24"/>
          <w:lang w:val="uk-UA"/>
        </w:rPr>
        <w:t>Нетяженко В.З., Щуліпенко І.М., Дідківська Л.А. Догляд за хворими (загальний і спеціальний з основами медсестринської техніки): підруч. для студ. вищ. мед. навч. закл. IV рівня акредитації. – К.: Здоров'я, 2013. - 591 с.</w:t>
      </w:r>
    </w:p>
    <w:p>
      <w:pPr>
        <w:pStyle w:val="ListParagraph"/>
        <w:numPr>
          <w:ilvl w:val="0"/>
          <w:numId w:val="12"/>
        </w:numPr>
        <w:jc w:val="both"/>
        <w:rPr>
          <w:sz w:val="24"/>
          <w:szCs w:val="24"/>
          <w:lang w:val="uk-UA"/>
        </w:rPr>
      </w:pPr>
      <w:r>
        <w:rPr>
          <w:bCs/>
          <w:sz w:val="24"/>
          <w:szCs w:val="24"/>
          <w:lang w:val="uk-UA"/>
        </w:rPr>
        <w:t>Тяжка О.В., Антошкіна А.М., Васюкова М.М., Казакова Л.М., Лутай Т.І. та ін. Основи догляду за дітьми. Техніка лікувальних процедур і маніпуляцій: навч. посіб. для мед. ВНЗ III-IV р.а. – 2-ге вид. / за ред. О.В. Тяжкої. – К. : Медицина, 2014. - 152с.</w:t>
      </w:r>
    </w:p>
    <w:p>
      <w:pPr>
        <w:pStyle w:val="ListParagraph"/>
        <w:numPr>
          <w:ilvl w:val="0"/>
          <w:numId w:val="12"/>
        </w:numPr>
        <w:jc w:val="both"/>
        <w:rPr/>
      </w:pPr>
      <w:r>
        <w:rPr>
          <w:sz w:val="24"/>
          <w:szCs w:val="24"/>
          <w:lang w:val="uk-UA"/>
        </w:rPr>
        <w:t xml:space="preserve">Наказ МОЗ України № 460 від 01.06.13 Про затвердження протоколів медичної сестри (фельдшера, акушерки) з догляду за пацієнтом та виконання основних медичних процедур та маніпуляцій. [електронний ресурс] – Режим доступу: </w:t>
      </w:r>
      <w:hyperlink r:id="rId2">
        <w:r>
          <w:rPr>
            <w:sz w:val="24"/>
            <w:szCs w:val="24"/>
            <w:lang w:val="uk-UA"/>
          </w:rPr>
          <w:t>http://mozdocs.kiev.ua</w:t>
        </w:r>
      </w:hyperlink>
    </w:p>
    <w:p>
      <w:pPr>
        <w:pStyle w:val="Standard"/>
        <w:tabs>
          <w:tab w:val="clear" w:pos="708"/>
          <w:tab w:val="left" w:pos="709" w:leader="none"/>
        </w:tabs>
        <w:spacing w:lineRule="auto" w:line="240" w:before="0" w:after="0"/>
        <w:ind w:firstLine="709"/>
        <w:jc w:val="both"/>
        <w:rPr>
          <w:rFonts w:ascii="Times New Roman" w:hAnsi="Times New Roman"/>
          <w:sz w:val="24"/>
          <w:szCs w:val="24"/>
          <w:lang w:val="uk-UA"/>
        </w:rPr>
      </w:pPr>
      <w:r>
        <w:rPr>
          <w:sz w:val="24"/>
          <w:szCs w:val="24"/>
          <w:lang w:val="uk-UA"/>
        </w:rPr>
      </w:r>
    </w:p>
    <w:p>
      <w:pPr>
        <w:pStyle w:val="Standard"/>
        <w:tabs>
          <w:tab w:val="clear" w:pos="708"/>
          <w:tab w:val="left" w:pos="709" w:leader="none"/>
        </w:tabs>
        <w:spacing w:lineRule="auto" w:line="240" w:before="0" w:after="0"/>
        <w:ind w:firstLine="709"/>
        <w:jc w:val="both"/>
        <w:rPr>
          <w:sz w:val="24"/>
          <w:szCs w:val="24"/>
          <w:lang w:val="uk-UA"/>
        </w:rPr>
      </w:pPr>
      <w:r>
        <w:rPr>
          <w:i/>
          <w:sz w:val="24"/>
          <w:szCs w:val="24"/>
          <w:lang w:val="uk-UA"/>
        </w:rPr>
        <w:t>Електронні ресурси:</w:t>
      </w:r>
    </w:p>
    <w:p>
      <w:pPr>
        <w:pStyle w:val="ListParagraph"/>
        <w:widowControl w:val="false"/>
        <w:numPr>
          <w:ilvl w:val="0"/>
          <w:numId w:val="13"/>
        </w:numPr>
        <w:rPr/>
      </w:pPr>
      <w:hyperlink r:id="rId3">
        <w:r>
          <w:rPr>
            <w:color w:val="000000"/>
            <w:sz w:val="24"/>
            <w:szCs w:val="24"/>
            <w:lang w:val="uk-UA"/>
          </w:rPr>
          <w:t>http://moz.gov.ua</w:t>
        </w:r>
      </w:hyperlink>
      <w:r>
        <w:rPr>
          <w:color w:val="000000"/>
          <w:sz w:val="24"/>
          <w:szCs w:val="24"/>
          <w:lang w:val="uk-UA"/>
        </w:rPr>
        <w:t xml:space="preserve"> </w:t>
      </w:r>
      <w:r>
        <w:rPr>
          <w:rStyle w:val="Internetlink"/>
          <w:color w:val="000000"/>
          <w:sz w:val="24"/>
          <w:szCs w:val="24"/>
          <w:u w:val="none"/>
          <w:lang w:val="uk-UA"/>
        </w:rPr>
        <w:t>– Міністерство охорони здоров’я України</w:t>
      </w:r>
    </w:p>
    <w:p>
      <w:pPr>
        <w:pStyle w:val="ListParagraph"/>
        <w:widowControl w:val="false"/>
        <w:numPr>
          <w:ilvl w:val="0"/>
          <w:numId w:val="13"/>
        </w:numPr>
        <w:rPr/>
      </w:pPr>
      <w:hyperlink r:id="rId4">
        <w:r>
          <w:rPr>
            <w:color w:val="000000"/>
            <w:sz w:val="24"/>
            <w:szCs w:val="24"/>
            <w:lang w:val="uk-UA"/>
          </w:rPr>
          <w:t>https://www.cprguidelines.eu/</w:t>
        </w:r>
      </w:hyperlink>
      <w:r>
        <w:rPr>
          <w:color w:val="000000"/>
          <w:sz w:val="24"/>
          <w:szCs w:val="24"/>
          <w:lang w:val="uk-UA"/>
        </w:rPr>
        <w:t xml:space="preserve"> </w:t>
      </w:r>
      <w:r>
        <w:rPr>
          <w:rStyle w:val="Internetlink"/>
          <w:color w:val="000000"/>
          <w:sz w:val="24"/>
          <w:szCs w:val="24"/>
          <w:u w:val="none"/>
          <w:lang w:val="uk-UA"/>
        </w:rPr>
        <w:t>– Європейська рада ресусцитації</w:t>
      </w:r>
    </w:p>
    <w:p>
      <w:pPr>
        <w:pStyle w:val="ListParagraph"/>
        <w:widowControl w:val="false"/>
        <w:numPr>
          <w:ilvl w:val="0"/>
          <w:numId w:val="13"/>
        </w:numPr>
        <w:rPr/>
      </w:pPr>
      <w:hyperlink r:id="rId5">
        <w:r>
          <w:rPr>
            <w:color w:val="000000"/>
            <w:sz w:val="24"/>
            <w:szCs w:val="24"/>
            <w:lang w:val="uk-UA"/>
          </w:rPr>
          <w:t>https://www.c-tecc.org/our-work/guidance</w:t>
        </w:r>
      </w:hyperlink>
      <w:r>
        <w:rPr>
          <w:color w:val="000000"/>
          <w:sz w:val="24"/>
          <w:szCs w:val="24"/>
          <w:lang w:val="uk-UA"/>
        </w:rPr>
        <w:t xml:space="preserve"> </w:t>
      </w:r>
      <w:r>
        <w:rPr>
          <w:rStyle w:val="Internetlink"/>
          <w:color w:val="000000"/>
          <w:sz w:val="24"/>
          <w:szCs w:val="24"/>
          <w:u w:val="none"/>
          <w:lang w:val="uk-UA"/>
        </w:rPr>
        <w:t>– Комітет з тактичної невідкладної допомоги постраждалим</w:t>
      </w:r>
    </w:p>
    <w:p>
      <w:pPr>
        <w:pStyle w:val="ListParagraph"/>
        <w:widowControl w:val="false"/>
        <w:numPr>
          <w:ilvl w:val="0"/>
          <w:numId w:val="13"/>
        </w:numPr>
        <w:jc w:val="both"/>
        <w:rPr/>
      </w:pPr>
      <w:r>
        <w:fldChar w:fldCharType="begin"/>
      </w:r>
      <w:r>
        <w:rPr>
          <w:sz w:val="24"/>
          <w:szCs w:val="24"/>
          <w:lang w:val="uk-UA"/>
        </w:rPr>
        <w:instrText> HYPERLINK "https://zakon.rada.gov.ua/laws/show/z0356-22" \l "n42"</w:instrText>
      </w:r>
      <w:r>
        <w:rPr>
          <w:sz w:val="24"/>
          <w:szCs w:val="24"/>
          <w:lang w:val="uk-UA"/>
        </w:rPr>
        <w:fldChar w:fldCharType="separate"/>
      </w:r>
      <w:r>
        <w:rPr>
          <w:sz w:val="24"/>
          <w:szCs w:val="24"/>
          <w:lang w:val="uk-UA"/>
        </w:rPr>
        <w:t>https://zakon.rada.gov.ua/laws/show/z0356-22#n42</w:t>
      </w:r>
      <w:r>
        <w:rPr>
          <w:sz w:val="24"/>
          <w:szCs w:val="24"/>
          <w:lang w:val="uk-UA"/>
        </w:rPr>
        <w:fldChar w:fldCharType="end"/>
      </w:r>
      <w:r>
        <w:rPr>
          <w:rStyle w:val="Internetlink"/>
          <w:color w:val="000000"/>
          <w:sz w:val="24"/>
          <w:szCs w:val="24"/>
          <w:u w:val="none"/>
          <w:lang w:val="uk-UA"/>
        </w:rPr>
        <w:t xml:space="preserve"> – Наказ МОЗ України від 09.03.2022 р. № 441 «Про затвердження порядків надання домедичної допомоги особам при невідкладних станах»</w:t>
      </w:r>
    </w:p>
    <w:p>
      <w:pPr>
        <w:pStyle w:val="ListParagraph"/>
        <w:widowControl w:val="false"/>
        <w:numPr>
          <w:ilvl w:val="0"/>
          <w:numId w:val="13"/>
        </w:numPr>
        <w:rPr/>
      </w:pPr>
      <w:hyperlink r:id="rId6">
        <w:r>
          <w:rPr>
            <w:color w:val="000000"/>
            <w:sz w:val="24"/>
            <w:szCs w:val="24"/>
            <w:lang w:val="uk-UA"/>
          </w:rPr>
          <w:t>https://gmka.org/uk/category/dlya-medykiv/nevidkladna-hirugiya/</w:t>
        </w:r>
      </w:hyperlink>
      <w:r>
        <w:rPr>
          <w:rStyle w:val="Internetlink"/>
          <w:color w:val="000000"/>
          <w:sz w:val="24"/>
          <w:szCs w:val="24"/>
          <w:u w:val="none"/>
          <w:lang w:val="uk-UA"/>
        </w:rPr>
        <w:t xml:space="preserve"> – Глобальний альянс медичних знань</w:t>
      </w:r>
    </w:p>
    <w:p>
      <w:pPr>
        <w:pStyle w:val="ListParagraph"/>
        <w:widowControl w:val="false"/>
        <w:numPr>
          <w:ilvl w:val="0"/>
          <w:numId w:val="13"/>
        </w:numPr>
        <w:rPr/>
      </w:pPr>
      <w:hyperlink r:id="rId7">
        <w:r>
          <w:rPr>
            <w:color w:val="000000"/>
            <w:sz w:val="24"/>
            <w:szCs w:val="24"/>
            <w:lang w:val="uk-UA"/>
          </w:rPr>
          <w:t>www.ama-assn.org</w:t>
        </w:r>
      </w:hyperlink>
      <w:r>
        <w:rPr>
          <w:color w:val="000000"/>
          <w:sz w:val="24"/>
          <w:szCs w:val="24"/>
          <w:lang w:val="uk-UA"/>
        </w:rPr>
        <w:t xml:space="preserve"> – </w:t>
      </w:r>
      <w:r>
        <w:rPr>
          <w:rStyle w:val="Internetlink"/>
          <w:color w:val="000000"/>
          <w:sz w:val="24"/>
          <w:szCs w:val="24"/>
          <w:u w:val="none"/>
          <w:lang w:val="uk-UA"/>
        </w:rPr>
        <w:t>Американська медична асоціація</w:t>
      </w:r>
    </w:p>
    <w:p>
      <w:pPr>
        <w:pStyle w:val="ListParagraph"/>
        <w:widowControl w:val="false"/>
        <w:numPr>
          <w:ilvl w:val="0"/>
          <w:numId w:val="13"/>
        </w:numPr>
        <w:rPr/>
      </w:pPr>
      <w:hyperlink r:id="rId8">
        <w:r>
          <w:rPr>
            <w:color w:val="000000"/>
            <w:sz w:val="24"/>
            <w:szCs w:val="24"/>
            <w:lang w:val="uk-UA"/>
          </w:rPr>
          <w:t>http://www.nbuv.gov.ua/</w:t>
        </w:r>
      </w:hyperlink>
      <w:r>
        <w:rPr>
          <w:rStyle w:val="Internetlink"/>
          <w:color w:val="000000"/>
          <w:sz w:val="24"/>
          <w:szCs w:val="24"/>
          <w:u w:val="none"/>
          <w:lang w:val="uk-UA"/>
        </w:rPr>
        <w:t xml:space="preserve"> – Національна бібліотека України</w:t>
      </w:r>
    </w:p>
    <w:p>
      <w:pPr>
        <w:pStyle w:val="ListParagraph"/>
        <w:widowControl w:val="false"/>
        <w:numPr>
          <w:ilvl w:val="0"/>
          <w:numId w:val="13"/>
        </w:numPr>
        <w:rPr/>
      </w:pPr>
      <w:hyperlink r:id="rId9">
        <w:r>
          <w:rPr>
            <w:color w:val="000000"/>
            <w:sz w:val="24"/>
            <w:szCs w:val="24"/>
            <w:lang w:val="uk-UA"/>
          </w:rPr>
          <w:t>www.who.int</w:t>
        </w:r>
      </w:hyperlink>
      <w:r>
        <w:rPr>
          <w:rStyle w:val="Internetlink"/>
          <w:color w:val="000000"/>
          <w:sz w:val="24"/>
          <w:szCs w:val="24"/>
          <w:u w:val="none"/>
          <w:lang w:val="uk-UA"/>
        </w:rPr>
        <w:t xml:space="preserve"> </w:t>
      </w:r>
      <w:r>
        <w:rPr>
          <w:rStyle w:val="Internetlink"/>
          <w:color w:val="000000"/>
          <w:sz w:val="24"/>
          <w:szCs w:val="24"/>
          <w:highlight w:val="white"/>
          <w:u w:val="none"/>
          <w:lang w:val="uk-UA"/>
        </w:rPr>
        <w:t>– Всесвітня організація охорони здоров’я</w:t>
      </w:r>
    </w:p>
    <w:p>
      <w:pPr>
        <w:pStyle w:val="ListParagraph"/>
        <w:widowControl w:val="false"/>
        <w:numPr>
          <w:ilvl w:val="0"/>
          <w:numId w:val="13"/>
        </w:numPr>
        <w:rPr/>
      </w:pPr>
      <w:hyperlink r:id="rId10">
        <w:r>
          <w:rPr>
            <w:color w:val="000000"/>
            <w:sz w:val="24"/>
            <w:szCs w:val="24"/>
            <w:lang w:val="uk-UA"/>
          </w:rPr>
          <w:t>www.dec.gov.ua/mtd/home/</w:t>
        </w:r>
      </w:hyperlink>
      <w:r>
        <w:rPr>
          <w:color w:val="000000"/>
          <w:sz w:val="24"/>
          <w:szCs w:val="24"/>
          <w:lang w:val="uk-UA"/>
        </w:rPr>
        <w:t xml:space="preserve"> – </w:t>
      </w:r>
      <w:r>
        <w:rPr>
          <w:rStyle w:val="Internetlink"/>
          <w:color w:val="000000"/>
          <w:sz w:val="24"/>
          <w:szCs w:val="24"/>
          <w:highlight w:val="white"/>
          <w:u w:val="none"/>
          <w:lang w:val="uk-UA"/>
        </w:rPr>
        <w:t>Державний експертний центр МОЗ України</w:t>
      </w:r>
    </w:p>
    <w:p>
      <w:pPr>
        <w:pStyle w:val="ListParagraph"/>
        <w:widowControl w:val="false"/>
        <w:numPr>
          <w:ilvl w:val="0"/>
          <w:numId w:val="13"/>
        </w:numPr>
        <w:rPr/>
      </w:pPr>
      <w:hyperlink r:id="rId11">
        <w:r>
          <w:rPr>
            <w:color w:val="000000"/>
            <w:sz w:val="24"/>
            <w:szCs w:val="24"/>
            <w:lang w:val="uk-UA"/>
          </w:rPr>
          <w:t>http://bma.org.uk</w:t>
        </w:r>
      </w:hyperlink>
      <w:r>
        <w:rPr>
          <w:color w:val="000000"/>
          <w:sz w:val="24"/>
          <w:szCs w:val="24"/>
          <w:lang w:val="uk-UA"/>
        </w:rPr>
        <w:t xml:space="preserve"> – Британська медична асоціація</w:t>
      </w:r>
    </w:p>
    <w:p>
      <w:pPr>
        <w:pStyle w:val="ListParagraph"/>
        <w:widowControl w:val="false"/>
        <w:numPr>
          <w:ilvl w:val="0"/>
          <w:numId w:val="13"/>
        </w:numPr>
        <w:rPr/>
      </w:pPr>
      <w:hyperlink r:id="rId12">
        <w:r>
          <w:rPr>
            <w:color w:val="000000"/>
            <w:sz w:val="24"/>
            <w:szCs w:val="24"/>
            <w:lang w:val="uk-UA"/>
          </w:rPr>
          <w:t>w</w:t>
        </w:r>
      </w:hyperlink>
      <w:hyperlink r:id="rId13">
        <w:r>
          <w:rPr>
            <w:color w:val="000000"/>
            <w:sz w:val="24"/>
            <w:szCs w:val="24"/>
            <w:lang w:val="uk-UA"/>
          </w:rPr>
          <w:t>w</w:t>
        </w:r>
      </w:hyperlink>
      <w:hyperlink r:id="rId14">
        <w:r>
          <w:rPr>
            <w:color w:val="000000"/>
            <w:sz w:val="24"/>
            <w:szCs w:val="24"/>
            <w:lang w:val="uk-UA"/>
          </w:rPr>
          <w:t>w.gmc-uk.org</w:t>
        </w:r>
      </w:hyperlink>
      <w:r>
        <w:rPr>
          <w:color w:val="000000"/>
          <w:sz w:val="24"/>
          <w:szCs w:val="24"/>
          <w:lang w:val="uk-UA"/>
        </w:rPr>
        <w:t xml:space="preserve"> – </w:t>
      </w:r>
      <w:r>
        <w:rPr>
          <w:rStyle w:val="Style15"/>
          <w:bCs/>
          <w:i w:val="false"/>
          <w:iCs w:val="false"/>
          <w:color w:val="000000"/>
          <w:sz w:val="24"/>
          <w:szCs w:val="24"/>
          <w:shd w:fill="FFFFFF" w:val="clear"/>
          <w:lang w:val="uk-UA"/>
        </w:rPr>
        <w:t xml:space="preserve">General Medical Council </w:t>
      </w:r>
      <w:r>
        <w:rPr>
          <w:color w:val="000000"/>
          <w:sz w:val="24"/>
          <w:szCs w:val="24"/>
          <w:shd w:fill="FFFFFF" w:val="clear"/>
          <w:lang w:val="uk-UA"/>
        </w:rPr>
        <w:t>(</w:t>
      </w:r>
      <w:r>
        <w:rPr>
          <w:rStyle w:val="Style15"/>
          <w:bCs/>
          <w:i w:val="false"/>
          <w:iCs w:val="false"/>
          <w:color w:val="000000"/>
          <w:sz w:val="24"/>
          <w:szCs w:val="24"/>
          <w:shd w:fill="FFFFFF" w:val="clear"/>
          <w:lang w:val="uk-UA"/>
        </w:rPr>
        <w:t>GMC</w:t>
      </w:r>
      <w:r>
        <w:rPr>
          <w:color w:val="000000"/>
          <w:sz w:val="24"/>
          <w:szCs w:val="24"/>
          <w:shd w:fill="FFFFFF" w:val="clear"/>
          <w:lang w:val="uk-UA"/>
        </w:rPr>
        <w:t>)</w:t>
      </w:r>
    </w:p>
    <w:p>
      <w:pPr>
        <w:pStyle w:val="ListParagraph"/>
        <w:widowControl w:val="false"/>
        <w:numPr>
          <w:ilvl w:val="0"/>
          <w:numId w:val="13"/>
        </w:numPr>
        <w:rPr/>
      </w:pPr>
      <w:hyperlink r:id="rId15">
        <w:r>
          <w:rPr>
            <w:rStyle w:val="Internetlink"/>
            <w:color w:val="000000"/>
            <w:sz w:val="24"/>
            <w:szCs w:val="24"/>
            <w:u w:val="none"/>
            <w:lang w:val="uk-UA"/>
          </w:rPr>
          <w:t>www.bundesaerztekammer.de</w:t>
        </w:r>
      </w:hyperlink>
      <w:r>
        <w:rPr>
          <w:rStyle w:val="Internetlink"/>
          <w:color w:val="000000"/>
          <w:sz w:val="24"/>
          <w:szCs w:val="24"/>
          <w:u w:val="none"/>
          <w:lang w:val="uk-UA"/>
        </w:rPr>
        <w:t xml:space="preserve"> – Німецька медична асоціація</w:t>
      </w:r>
    </w:p>
    <w:p>
      <w:pPr>
        <w:pStyle w:val="Standard"/>
        <w:tabs>
          <w:tab w:val="clear" w:pos="708"/>
          <w:tab w:val="left" w:pos="0" w:leader="none"/>
        </w:tabs>
        <w:spacing w:lineRule="auto" w:line="240" w:before="0" w:after="0"/>
        <w:ind w:firstLine="709"/>
        <w:jc w:val="both"/>
        <w:rPr>
          <w:rFonts w:ascii="Times New Roman" w:hAnsi="Times New Roman"/>
          <w:b/>
          <w:b/>
          <w:sz w:val="24"/>
          <w:szCs w:val="24"/>
          <w:lang w:val="uk-UA"/>
        </w:rPr>
      </w:pPr>
      <w:r>
        <w:rPr>
          <w:b/>
          <w:sz w:val="24"/>
          <w:szCs w:val="24"/>
          <w:lang w:val="uk-UA"/>
        </w:rPr>
      </w:r>
    </w:p>
    <w:p>
      <w:pPr>
        <w:pStyle w:val="ListParagraph"/>
        <w:numPr>
          <w:ilvl w:val="0"/>
          <w:numId w:val="48"/>
        </w:numPr>
        <w:tabs>
          <w:tab w:val="clear" w:pos="708"/>
          <w:tab w:val="left" w:pos="709" w:leader="none"/>
        </w:tabs>
        <w:ind w:left="0" w:hanging="0"/>
        <w:jc w:val="center"/>
        <w:rPr>
          <w:sz w:val="24"/>
          <w:szCs w:val="24"/>
          <w:lang w:val="uk-UA"/>
        </w:rPr>
      </w:pPr>
      <w:r>
        <w:rPr>
          <w:b/>
          <w:bCs/>
          <w:color w:val="0070C0"/>
          <w:sz w:val="24"/>
          <w:szCs w:val="24"/>
          <w:lang w:val="uk-UA"/>
        </w:rPr>
        <w:t>ОЦІНЮВАННЯ</w:t>
      </w:r>
    </w:p>
    <w:p>
      <w:pPr>
        <w:pStyle w:val="ListParagraph"/>
        <w:numPr>
          <w:ilvl w:val="0"/>
          <w:numId w:val="49"/>
        </w:numPr>
        <w:tabs>
          <w:tab w:val="clear" w:pos="708"/>
          <w:tab w:val="left" w:pos="709" w:leader="none"/>
        </w:tabs>
        <w:ind w:left="0" w:firstLine="709"/>
        <w:jc w:val="both"/>
        <w:rPr>
          <w:b/>
          <w:b/>
          <w:bCs/>
          <w:color w:val="0070C0"/>
          <w:sz w:val="24"/>
          <w:szCs w:val="24"/>
          <w:lang w:val="uk-UA"/>
        </w:rPr>
      </w:pPr>
      <w:r>
        <w:rPr>
          <w:b/>
          <w:bCs/>
          <w:color w:val="0070C0"/>
          <w:sz w:val="24"/>
          <w:szCs w:val="24"/>
          <w:lang w:val="uk-UA"/>
        </w:rPr>
      </w:r>
    </w:p>
    <w:p>
      <w:pPr>
        <w:pStyle w:val="Standard"/>
        <w:tabs>
          <w:tab w:val="clear" w:pos="708"/>
          <w:tab w:val="left" w:pos="0" w:leader="none"/>
          <w:tab w:val="left" w:pos="142" w:leader="none"/>
        </w:tabs>
        <w:spacing w:lineRule="auto" w:line="240" w:before="0" w:after="0"/>
        <w:ind w:firstLine="709"/>
        <w:jc w:val="both"/>
        <w:rPr>
          <w:sz w:val="24"/>
          <w:szCs w:val="24"/>
          <w:lang w:val="uk-UA"/>
        </w:rPr>
      </w:pPr>
      <w:r>
        <w:rPr>
          <w:i/>
          <w:iCs/>
          <w:sz w:val="24"/>
          <w:szCs w:val="24"/>
          <w:lang w:val="uk-UA"/>
        </w:rPr>
        <w:t>Форми і методи поточного контролю:</w:t>
      </w:r>
    </w:p>
    <w:p>
      <w:pPr>
        <w:pStyle w:val="Standard"/>
        <w:numPr>
          <w:ilvl w:val="0"/>
          <w:numId w:val="15"/>
        </w:numPr>
        <w:tabs>
          <w:tab w:val="clear" w:pos="708"/>
          <w:tab w:val="left" w:pos="-8640" w:leader="none"/>
          <w:tab w:val="left" w:pos="-8498" w:leader="none"/>
        </w:tabs>
        <w:spacing w:before="0" w:after="0"/>
        <w:jc w:val="both"/>
        <w:rPr>
          <w:sz w:val="24"/>
          <w:szCs w:val="24"/>
          <w:lang w:val="uk-UA"/>
        </w:rPr>
      </w:pPr>
      <w:r>
        <w:rPr>
          <w:sz w:val="24"/>
          <w:szCs w:val="24"/>
          <w:lang w:val="uk-UA"/>
        </w:rPr>
        <w:t>усний контроль: індивідуальне опитування за питаннями відповідної теми;</w:t>
      </w:r>
    </w:p>
    <w:p>
      <w:pPr>
        <w:pStyle w:val="Standard"/>
        <w:numPr>
          <w:ilvl w:val="0"/>
          <w:numId w:val="15"/>
        </w:numPr>
        <w:tabs>
          <w:tab w:val="clear" w:pos="708"/>
          <w:tab w:val="left" w:pos="-8640" w:leader="none"/>
          <w:tab w:val="left" w:pos="-8498" w:leader="none"/>
        </w:tabs>
        <w:spacing w:before="0" w:after="0"/>
        <w:jc w:val="both"/>
        <w:rPr>
          <w:sz w:val="24"/>
          <w:szCs w:val="24"/>
          <w:lang w:val="uk-UA"/>
        </w:rPr>
      </w:pPr>
      <w:r>
        <w:rPr>
          <w:sz w:val="24"/>
          <w:szCs w:val="24"/>
          <w:lang w:val="uk-UA"/>
        </w:rPr>
        <w:t xml:space="preserve">письмовий контроль: оцінювання розв’язання клінічних ситуаційних задач, оцінювання виконання практичних навичок </w:t>
      </w:r>
      <w:r>
        <w:rPr>
          <w:bCs/>
          <w:sz w:val="24"/>
          <w:szCs w:val="24"/>
          <w:lang w:val="uk-UA"/>
        </w:rPr>
        <w:t>на симуляційних муляжах та манекенах</w:t>
      </w:r>
      <w:r>
        <w:rPr>
          <w:sz w:val="24"/>
          <w:szCs w:val="24"/>
          <w:lang w:val="uk-UA"/>
        </w:rPr>
        <w:t>;</w:t>
      </w:r>
    </w:p>
    <w:p>
      <w:pPr>
        <w:pStyle w:val="Standard"/>
        <w:numPr>
          <w:ilvl w:val="0"/>
          <w:numId w:val="15"/>
        </w:numPr>
        <w:tabs>
          <w:tab w:val="clear" w:pos="708"/>
          <w:tab w:val="left" w:pos="-8640" w:leader="none"/>
          <w:tab w:val="left" w:pos="-8498" w:leader="none"/>
        </w:tabs>
        <w:spacing w:lineRule="auto" w:line="240" w:before="0" w:after="0"/>
        <w:jc w:val="both"/>
        <w:textAlignment w:val="auto"/>
        <w:rPr>
          <w:sz w:val="24"/>
          <w:szCs w:val="24"/>
          <w:lang w:val="uk-UA"/>
        </w:rPr>
      </w:pPr>
      <w:r>
        <w:rPr>
          <w:rFonts w:eastAsia="Times New Roman"/>
          <w:bCs/>
          <w:color w:val="000000"/>
          <w:sz w:val="24"/>
          <w:szCs w:val="24"/>
          <w:lang w:val="uk-UA" w:eastAsia="uk-UA"/>
        </w:rPr>
        <w:t>тестовий контроль: оцінювання розв’язування тестових завдань.</w:t>
      </w:r>
    </w:p>
    <w:p>
      <w:pPr>
        <w:pStyle w:val="Standard"/>
        <w:tabs>
          <w:tab w:val="clear" w:pos="708"/>
          <w:tab w:val="left" w:pos="0" w:leader="none"/>
          <w:tab w:val="left" w:pos="142" w:leader="none"/>
        </w:tabs>
        <w:spacing w:lineRule="auto" w:line="240" w:before="0" w:after="0"/>
        <w:jc w:val="both"/>
        <w:rPr>
          <w:rFonts w:ascii="Times New Roman" w:hAnsi="Times New Roman"/>
          <w:sz w:val="24"/>
          <w:szCs w:val="24"/>
          <w:lang w:val="uk-UA"/>
        </w:rPr>
      </w:pPr>
      <w:r>
        <w:rPr>
          <w:sz w:val="24"/>
          <w:szCs w:val="24"/>
          <w:lang w:val="uk-UA"/>
        </w:rPr>
      </w:r>
    </w:p>
    <w:p>
      <w:pPr>
        <w:pStyle w:val="Normal"/>
        <w:tabs>
          <w:tab w:val="clear" w:pos="708"/>
          <w:tab w:val="left" w:pos="0" w:leader="none"/>
          <w:tab w:val="left" w:pos="142" w:leader="none"/>
        </w:tabs>
        <w:jc w:val="center"/>
        <w:rPr>
          <w:sz w:val="24"/>
          <w:szCs w:val="24"/>
          <w:lang w:val="uk-UA"/>
        </w:rPr>
      </w:pPr>
      <w:r>
        <w:rPr>
          <w:rFonts w:cs="Times New Roman" w:ascii="Times New Roman" w:hAnsi="Times New Roman"/>
          <w:b/>
          <w:sz w:val="24"/>
          <w:szCs w:val="24"/>
          <w:lang w:val="uk-UA"/>
        </w:rPr>
        <w:t>Критерії поточного оцінювання на практичному занятті</w:t>
      </w:r>
    </w:p>
    <w:p>
      <w:pPr>
        <w:pStyle w:val="Normal"/>
        <w:jc w:val="center"/>
        <w:rPr>
          <w:rFonts w:ascii="Times New Roman" w:hAnsi="Times New Roman" w:cs="Times New Roman"/>
          <w:b/>
          <w:b/>
          <w:sz w:val="24"/>
          <w:szCs w:val="24"/>
          <w:lang w:val="uk-UA"/>
        </w:rPr>
      </w:pPr>
      <w:r>
        <w:rPr>
          <w:rFonts w:cs="Times New Roman" w:ascii="Times New Roman" w:hAnsi="Times New Roman"/>
          <w:b/>
          <w:sz w:val="24"/>
          <w:szCs w:val="24"/>
          <w:lang w:val="uk-UA"/>
        </w:rPr>
      </w:r>
    </w:p>
    <w:tbl>
      <w:tblPr>
        <w:tblW w:w="9570" w:type="dxa"/>
        <w:jc w:val="left"/>
        <w:tblInd w:w="-118" w:type="dxa"/>
        <w:tblCellMar>
          <w:top w:w="0" w:type="dxa"/>
          <w:left w:w="108" w:type="dxa"/>
          <w:bottom w:w="0" w:type="dxa"/>
          <w:right w:w="108" w:type="dxa"/>
        </w:tblCellMar>
        <w:tblLook w:val="04a0" w:noHBand="0" w:noVBand="1" w:firstColumn="1" w:lastRow="0" w:lastColumn="0" w:firstRow="1"/>
      </w:tblPr>
      <w:tblGrid>
        <w:gridCol w:w="1627"/>
        <w:gridCol w:w="7942"/>
      </w:tblGrid>
      <w:tr>
        <w:trPr/>
        <w:tc>
          <w:tcPr>
            <w:tcW w:w="1627" w:type="dxa"/>
            <w:tcBorders>
              <w:top w:val="single" w:sz="4" w:space="0" w:color="000000"/>
              <w:left w:val="single" w:sz="4" w:space="0" w:color="000000"/>
              <w:bottom w:val="single" w:sz="4" w:space="0" w:color="000000"/>
              <w:right w:val="single" w:sz="4" w:space="0" w:color="000000"/>
            </w:tcBorders>
          </w:tcPr>
          <w:p>
            <w:pPr>
              <w:pStyle w:val="Normal"/>
              <w:jc w:val="center"/>
              <w:rPr>
                <w:sz w:val="24"/>
                <w:szCs w:val="24"/>
                <w:lang w:val="uk-UA"/>
              </w:rPr>
            </w:pPr>
            <w:r>
              <w:rPr>
                <w:rFonts w:cs="Times New Roman" w:ascii="Times New Roman" w:hAnsi="Times New Roman"/>
                <w:b/>
                <w:sz w:val="24"/>
                <w:szCs w:val="24"/>
                <w:lang w:val="uk-UA"/>
              </w:rPr>
              <w:t>Оцінка</w:t>
            </w:r>
          </w:p>
        </w:tc>
        <w:tc>
          <w:tcPr>
            <w:tcW w:w="7942" w:type="dxa"/>
            <w:tcBorders>
              <w:top w:val="single" w:sz="4" w:space="0" w:color="000000"/>
              <w:left w:val="single" w:sz="4" w:space="0" w:color="000000"/>
              <w:bottom w:val="single" w:sz="4" w:space="0" w:color="000000"/>
              <w:right w:val="single" w:sz="4" w:space="0" w:color="000000"/>
            </w:tcBorders>
          </w:tcPr>
          <w:p>
            <w:pPr>
              <w:pStyle w:val="Normal"/>
              <w:jc w:val="center"/>
              <w:rPr>
                <w:sz w:val="24"/>
                <w:szCs w:val="24"/>
                <w:lang w:val="uk-UA"/>
              </w:rPr>
            </w:pPr>
            <w:r>
              <w:rPr>
                <w:rFonts w:cs="Times New Roman" w:ascii="Times New Roman" w:hAnsi="Times New Roman"/>
                <w:b/>
                <w:sz w:val="24"/>
                <w:szCs w:val="24"/>
                <w:lang w:val="uk-UA"/>
              </w:rPr>
              <w:t>Критерії оцінювання</w:t>
            </w:r>
          </w:p>
        </w:tc>
      </w:tr>
      <w:tr>
        <w:trPr/>
        <w:tc>
          <w:tcPr>
            <w:tcW w:w="1627" w:type="dxa"/>
            <w:tcBorders>
              <w:top w:val="single" w:sz="4" w:space="0" w:color="000000"/>
              <w:left w:val="single" w:sz="4" w:space="0" w:color="000000"/>
              <w:bottom w:val="single" w:sz="4" w:space="0" w:color="000000"/>
              <w:right w:val="single" w:sz="4" w:space="0" w:color="000000"/>
            </w:tcBorders>
            <w:vAlign w:val="center"/>
          </w:tcPr>
          <w:p>
            <w:pPr>
              <w:pStyle w:val="Standard"/>
              <w:widowControl w:val="false"/>
              <w:jc w:val="center"/>
              <w:rPr>
                <w:sz w:val="24"/>
                <w:szCs w:val="24"/>
                <w:lang w:val="uk-UA"/>
              </w:rPr>
            </w:pPr>
            <w:r>
              <w:rPr>
                <w:sz w:val="24"/>
                <w:szCs w:val="24"/>
                <w:lang w:val="uk-UA"/>
              </w:rPr>
              <w:t>Відмінно «5»</w:t>
            </w:r>
          </w:p>
        </w:tc>
        <w:tc>
          <w:tcPr>
            <w:tcW w:w="7942" w:type="dxa"/>
            <w:tcBorders>
              <w:top w:val="single" w:sz="4" w:space="0" w:color="000000"/>
              <w:left w:val="single" w:sz="4" w:space="0" w:color="000000"/>
              <w:bottom w:val="single" w:sz="4" w:space="0" w:color="000000"/>
              <w:right w:val="single" w:sz="4" w:space="0" w:color="000000"/>
            </w:tcBorders>
          </w:tcPr>
          <w:p>
            <w:pPr>
              <w:pStyle w:val="Standard"/>
              <w:widowControl w:val="false"/>
              <w:jc w:val="both"/>
              <w:rPr>
                <w:sz w:val="24"/>
                <w:szCs w:val="24"/>
                <w:lang w:val="uk-UA"/>
              </w:rPr>
            </w:pPr>
            <w:r>
              <w:rPr>
                <w:sz w:val="24"/>
                <w:szCs w:val="24"/>
                <w:lang w:val="uk-UA"/>
              </w:rPr>
              <w:t>Здобувач бере активну участь у зан</w:t>
            </w:r>
            <w:r>
              <w:rPr>
                <w:sz w:val="24"/>
                <w:szCs w:val="24"/>
                <w:lang w:val="uk-UA" w:eastAsia="ru-RU"/>
              </w:rPr>
              <w:t>ятті; демонструє глибокі знання, дає повні та детальні відповіді на запитання. Ґру</w:t>
            </w:r>
            <w:r>
              <w:rPr>
                <w:sz w:val="24"/>
                <w:szCs w:val="24"/>
                <w:lang w:val="uk-UA"/>
              </w:rPr>
              <w:t xml:space="preserve">нтовно і всебічно знає зміст теоретичних питань, вільно володіє професійною та науковою термінологією. Логічно мислить і будує відповідь, вільно використовує набуті теоретичні знання при аналізі практичних завдань. При вирішенні клінічної задачі правильно інтерпретує наведені дані, правильно відповідає на всі поставлені питання і переконливо обґрунтовує свою точку зору, </w:t>
            </w:r>
            <w:r>
              <w:rPr>
                <w:sz w:val="24"/>
                <w:szCs w:val="24"/>
                <w:lang w:val="uk-UA" w:eastAsia="ru-RU"/>
              </w:rPr>
              <w:t>може</w:t>
            </w:r>
            <w:r>
              <w:rPr>
                <w:sz w:val="24"/>
                <w:szCs w:val="24"/>
                <w:lang w:val="uk-UA"/>
              </w:rPr>
              <w:t xml:space="preserve"> запропонувати та обґрунтувати альтернативний варіант рішення з окремих питань. При розв’язанні практичного завдання за типом ОСКІ правильно демонструє виконання практичних навичок </w:t>
            </w:r>
            <w:r>
              <w:rPr>
                <w:bCs/>
                <w:sz w:val="24"/>
                <w:szCs w:val="24"/>
                <w:lang w:val="uk-UA"/>
              </w:rPr>
              <w:t>на симуляційних муляжах та манекенах</w:t>
            </w:r>
            <w:r>
              <w:rPr>
                <w:sz w:val="24"/>
                <w:szCs w:val="24"/>
                <w:lang w:val="uk-UA"/>
              </w:rPr>
              <w:t>, точно дотримується алгоритму їхнього виконання</w:t>
            </w:r>
          </w:p>
        </w:tc>
      </w:tr>
      <w:tr>
        <w:trPr/>
        <w:tc>
          <w:tcPr>
            <w:tcW w:w="1627" w:type="dxa"/>
            <w:tcBorders>
              <w:top w:val="single" w:sz="4" w:space="0" w:color="000000"/>
              <w:left w:val="single" w:sz="4" w:space="0" w:color="000000"/>
              <w:bottom w:val="single" w:sz="4" w:space="0" w:color="000000"/>
              <w:right w:val="single" w:sz="4" w:space="0" w:color="000000"/>
            </w:tcBorders>
            <w:vAlign w:val="center"/>
          </w:tcPr>
          <w:p>
            <w:pPr>
              <w:pStyle w:val="Standard"/>
              <w:widowControl w:val="false"/>
              <w:jc w:val="center"/>
              <w:rPr>
                <w:sz w:val="24"/>
                <w:szCs w:val="24"/>
                <w:lang w:val="uk-UA"/>
              </w:rPr>
            </w:pPr>
            <w:r>
              <w:rPr>
                <w:sz w:val="24"/>
                <w:szCs w:val="24"/>
                <w:lang w:val="uk-UA"/>
              </w:rPr>
              <w:t>Добре «4»</w:t>
            </w:r>
          </w:p>
        </w:tc>
        <w:tc>
          <w:tcPr>
            <w:tcW w:w="7942" w:type="dxa"/>
            <w:tcBorders>
              <w:top w:val="single" w:sz="4" w:space="0" w:color="000000"/>
              <w:left w:val="single" w:sz="4" w:space="0" w:color="000000"/>
              <w:bottom w:val="single" w:sz="4" w:space="0" w:color="000000"/>
              <w:right w:val="single" w:sz="4" w:space="0" w:color="000000"/>
            </w:tcBorders>
          </w:tcPr>
          <w:p>
            <w:pPr>
              <w:pStyle w:val="Standard"/>
              <w:jc w:val="both"/>
              <w:rPr>
                <w:sz w:val="24"/>
                <w:szCs w:val="24"/>
                <w:lang w:val="uk-UA"/>
              </w:rPr>
            </w:pPr>
            <w:r>
              <w:rPr>
                <w:sz w:val="24"/>
                <w:szCs w:val="24"/>
                <w:lang w:val="uk-UA"/>
              </w:rPr>
              <w:t xml:space="preserve">Здобувач бере участь у занятті; добре володіє матеріалом; демонструє необхідні знання, але дає відповіді на запитання з деякими помилками.  Достатньо глибоко і всебічно знає зміст теоретичних питань, володіє професійною та науковою термінологією. Логічно мислить і будує відповідь, використовує набуті теоретичні знання при аналізі практичних завдань. Але при викладанні деяких питань не вистачає достатньої глибини та аргументації, допускає несуттєві помилки, які усуваються самим здобувачем, коли на них вказує викладач. При вирішенні клінічної задачі припускається несуттєвих помилок чи неточностей в інтерпретації наведених даних, без суттєвих помилок відповідає на всі поставлені питання, повно обґрунтовує свою точку зору, проте пропозиції альтернативного варіанту викликають утруднення. При розв’язанні практичного завдання за типом ОСКІ допускає незначні похибки в алгоритмі та техніці виконання навички </w:t>
            </w:r>
            <w:r>
              <w:rPr>
                <w:bCs/>
                <w:sz w:val="24"/>
                <w:szCs w:val="24"/>
                <w:lang w:val="uk-UA"/>
              </w:rPr>
              <w:t>на симуляційних муляжах та манекенах</w:t>
            </w:r>
            <w:r>
              <w:rPr>
                <w:sz w:val="24"/>
                <w:szCs w:val="24"/>
                <w:lang w:val="uk-UA"/>
              </w:rPr>
              <w:t>, виправлені за вказівкою викладача</w:t>
            </w:r>
          </w:p>
        </w:tc>
      </w:tr>
      <w:tr>
        <w:trPr/>
        <w:tc>
          <w:tcPr>
            <w:tcW w:w="1627" w:type="dxa"/>
            <w:tcBorders>
              <w:top w:val="single" w:sz="4" w:space="0" w:color="000000"/>
              <w:left w:val="single" w:sz="4" w:space="0" w:color="000000"/>
              <w:bottom w:val="single" w:sz="4" w:space="0" w:color="000000"/>
              <w:right w:val="single" w:sz="4" w:space="0" w:color="000000"/>
            </w:tcBorders>
            <w:vAlign w:val="center"/>
          </w:tcPr>
          <w:p>
            <w:pPr>
              <w:pStyle w:val="Standard"/>
              <w:widowControl w:val="false"/>
              <w:jc w:val="center"/>
              <w:rPr>
                <w:sz w:val="24"/>
                <w:szCs w:val="24"/>
                <w:lang w:val="uk-UA"/>
              </w:rPr>
            </w:pPr>
            <w:r>
              <w:rPr>
                <w:sz w:val="24"/>
                <w:szCs w:val="24"/>
                <w:lang w:val="uk-UA"/>
              </w:rPr>
              <w:t>Задовільно «3»</w:t>
            </w:r>
          </w:p>
        </w:tc>
        <w:tc>
          <w:tcPr>
            <w:tcW w:w="7942" w:type="dxa"/>
            <w:tcBorders>
              <w:top w:val="single" w:sz="4" w:space="0" w:color="000000"/>
              <w:left w:val="single" w:sz="4" w:space="0" w:color="000000"/>
              <w:bottom w:val="single" w:sz="4" w:space="0" w:color="000000"/>
              <w:right w:val="single" w:sz="4" w:space="0" w:color="000000"/>
            </w:tcBorders>
          </w:tcPr>
          <w:p>
            <w:pPr>
              <w:pStyle w:val="Standard"/>
              <w:widowControl w:val="false"/>
              <w:jc w:val="both"/>
              <w:rPr>
                <w:sz w:val="24"/>
                <w:szCs w:val="24"/>
                <w:lang w:val="uk-UA"/>
              </w:rPr>
            </w:pPr>
            <w:r>
              <w:rPr>
                <w:sz w:val="24"/>
                <w:szCs w:val="24"/>
                <w:lang w:val="uk-UA"/>
              </w:rPr>
              <w:t xml:space="preserve">Здобувач іноді бере участь у занятті; частково виступає і задає питання; допускає помилки під час відповідей на запитання. Володіє основним обсягом теоретичних знань, неточно використовує професійну та наукову термінологію. Відчуває значні труднощі при побудові самостійної логічної відповіді, у застосуванні теоретичних знань при аналізі практичних завдань. У відповідях мають місце суттєві помилки. При вирішенні клінічної задачі з помилками інтерпретує наведені дані, не знає окремих деталей, допускає неточності у відповідях на питання, недостатньо правильно обґрунтовує свої відповіді та трактує формулювання, відчуває труднощі у виконанні завдань та пропозиції альтернативних варіантів. При розв’язанні практичного завдання за типом ОСКІ припускається значних похибок у алгоритмі та техніці виконання навички </w:t>
            </w:r>
            <w:r>
              <w:rPr>
                <w:bCs/>
                <w:sz w:val="24"/>
                <w:szCs w:val="24"/>
                <w:lang w:val="uk-UA"/>
              </w:rPr>
              <w:t>на симуляційних муляжах та манекенах</w:t>
            </w:r>
          </w:p>
        </w:tc>
      </w:tr>
      <w:tr>
        <w:trPr/>
        <w:tc>
          <w:tcPr>
            <w:tcW w:w="1627" w:type="dxa"/>
            <w:tcBorders>
              <w:top w:val="single" w:sz="4" w:space="0" w:color="000000"/>
              <w:left w:val="single" w:sz="4" w:space="0" w:color="000000"/>
              <w:bottom w:val="single" w:sz="4" w:space="0" w:color="000000"/>
              <w:right w:val="single" w:sz="4" w:space="0" w:color="000000"/>
            </w:tcBorders>
            <w:vAlign w:val="center"/>
          </w:tcPr>
          <w:p>
            <w:pPr>
              <w:pStyle w:val="Standard"/>
              <w:widowControl w:val="false"/>
              <w:jc w:val="center"/>
              <w:rPr>
                <w:sz w:val="24"/>
                <w:szCs w:val="24"/>
                <w:lang w:val="uk-UA"/>
              </w:rPr>
            </w:pPr>
            <w:r>
              <w:rPr>
                <w:sz w:val="24"/>
                <w:szCs w:val="24"/>
                <w:lang w:val="uk-UA"/>
              </w:rPr>
              <w:t>Незадовільно «2»</w:t>
            </w:r>
          </w:p>
        </w:tc>
        <w:tc>
          <w:tcPr>
            <w:tcW w:w="7942" w:type="dxa"/>
            <w:tcBorders>
              <w:top w:val="single" w:sz="4" w:space="0" w:color="000000"/>
              <w:left w:val="single" w:sz="4" w:space="0" w:color="000000"/>
              <w:bottom w:val="single" w:sz="4" w:space="0" w:color="000000"/>
              <w:right w:val="single" w:sz="4" w:space="0" w:color="000000"/>
            </w:tcBorders>
          </w:tcPr>
          <w:p>
            <w:pPr>
              <w:pStyle w:val="Standard"/>
              <w:jc w:val="both"/>
              <w:rPr>
                <w:sz w:val="24"/>
                <w:szCs w:val="24"/>
                <w:lang w:val="uk-UA"/>
              </w:rPr>
            </w:pPr>
            <w:r>
              <w:rPr>
                <w:sz w:val="24"/>
                <w:szCs w:val="24"/>
                <w:lang w:val="uk-UA"/>
              </w:rPr>
              <w:t xml:space="preserve">Здобувач не бере участь у занятті, є лише спостерігачем; ніколи не виступає і не задає питання, незацікавлений у вивченні матеріалу; дає неправильні відповіді на запитання. Не опанував основний обсяг теоретичних знань, виявляє низький рівень володіння професійною та науковою термінологією. Відповіді на питання є фрагментарними, непослідовними, нелогічними, не може застосовувати теоретичні знання при аналізі практичних завдань. У відповідях має місце значна кількість грубих помилок. При вирішенні клінічної задачі не може інтерпретувати наведені дані, відповісти на поставлені питання, або допускає у відповідях суттєві помилки; не міг обґрунтувати свої рішення чи робить це не переконливо. Альтернативних варіантів не пропонує. При розв’язанні практичного завдання за типом ОСКІ не продемонструє або припускається грубих помилок і похибок в алгоритмі та техніці виконання навички </w:t>
            </w:r>
            <w:r>
              <w:rPr>
                <w:bCs/>
                <w:sz w:val="24"/>
                <w:szCs w:val="24"/>
                <w:lang w:val="uk-UA"/>
              </w:rPr>
              <w:t>на симуляційних муляжах та манекенах</w:t>
            </w:r>
          </w:p>
        </w:tc>
      </w:tr>
    </w:tbl>
    <w:p>
      <w:pPr>
        <w:pStyle w:val="Normal"/>
        <w:tabs>
          <w:tab w:val="clear" w:pos="708"/>
          <w:tab w:val="left" w:pos="0" w:leader="none"/>
          <w:tab w:val="left" w:pos="142" w:leader="none"/>
        </w:tabs>
        <w:jc w:val="both"/>
        <w:rPr>
          <w:rFonts w:ascii="Times New Roman" w:hAnsi="Times New Roman" w:cs="Times New Roman"/>
          <w:sz w:val="24"/>
          <w:szCs w:val="24"/>
          <w:lang w:val="uk-UA"/>
        </w:rPr>
      </w:pPr>
      <w:r>
        <w:rPr>
          <w:rFonts w:cs="Times New Roman" w:ascii="Times New Roman" w:hAnsi="Times New Roman"/>
          <w:sz w:val="24"/>
          <w:szCs w:val="24"/>
          <w:lang w:val="uk-UA"/>
        </w:rPr>
      </w:r>
    </w:p>
    <w:p>
      <w:pPr>
        <w:pStyle w:val="Standard"/>
        <w:widowControl w:val="false"/>
        <w:tabs>
          <w:tab w:val="clear" w:pos="708"/>
          <w:tab w:val="left" w:pos="0" w:leader="none"/>
          <w:tab w:val="left" w:pos="426" w:leader="none"/>
          <w:tab w:val="left" w:pos="5554" w:leader="none"/>
        </w:tabs>
        <w:spacing w:lineRule="auto" w:line="240" w:before="0" w:after="0"/>
        <w:ind w:firstLine="709"/>
        <w:jc w:val="both"/>
        <w:rPr>
          <w:sz w:val="24"/>
          <w:szCs w:val="24"/>
          <w:lang w:val="uk-UA"/>
        </w:rPr>
      </w:pPr>
      <w:r>
        <w:rPr>
          <w:sz w:val="24"/>
          <w:szCs w:val="24"/>
          <w:lang w:val="uk-UA"/>
        </w:rPr>
        <w:t>До підсумкового контролю у формі диференційованого заліку допускаються лише ті здобувачі, які виконали вимоги навчальної програми з дисципліни, не мають академічної заборгованості та їх середній бал за поточну навчальну діяльність з дисципліни становить не менше 3,00.</w:t>
      </w:r>
    </w:p>
    <w:p>
      <w:pPr>
        <w:pStyle w:val="Standard"/>
        <w:widowControl w:val="false"/>
        <w:tabs>
          <w:tab w:val="clear" w:pos="708"/>
          <w:tab w:val="left" w:pos="0" w:leader="none"/>
          <w:tab w:val="left" w:pos="426" w:leader="none"/>
          <w:tab w:val="left" w:pos="5554" w:leader="none"/>
        </w:tabs>
        <w:spacing w:lineRule="auto" w:line="240" w:before="0" w:after="0"/>
        <w:ind w:firstLine="709"/>
        <w:jc w:val="both"/>
        <w:rPr>
          <w:rFonts w:ascii="Times New Roman" w:hAnsi="Times New Roman"/>
          <w:sz w:val="24"/>
          <w:szCs w:val="24"/>
          <w:lang w:val="uk-UA"/>
        </w:rPr>
      </w:pPr>
      <w:r>
        <w:rPr>
          <w:sz w:val="24"/>
          <w:szCs w:val="24"/>
          <w:lang w:val="uk-UA"/>
        </w:rPr>
      </w:r>
    </w:p>
    <w:p>
      <w:pPr>
        <w:pStyle w:val="Standard"/>
        <w:widowControl w:val="false"/>
        <w:tabs>
          <w:tab w:val="clear" w:pos="708"/>
          <w:tab w:val="left" w:pos="426" w:leader="none"/>
          <w:tab w:val="left" w:pos="5554" w:leader="none"/>
        </w:tabs>
        <w:spacing w:lineRule="auto" w:line="240" w:before="0" w:after="0"/>
        <w:ind w:firstLine="709"/>
        <w:jc w:val="center"/>
        <w:rPr>
          <w:sz w:val="24"/>
          <w:szCs w:val="24"/>
          <w:lang w:val="uk-UA"/>
        </w:rPr>
      </w:pPr>
      <w:r>
        <w:rPr>
          <w:sz w:val="24"/>
          <w:szCs w:val="24"/>
          <w:lang w:val="uk-UA"/>
        </w:rPr>
        <w:t>Оцінювання результатів навчання здобувачів під час підсумкового контролю — диференційованого заліку</w:t>
      </w:r>
    </w:p>
    <w:p>
      <w:pPr>
        <w:pStyle w:val="Standard"/>
        <w:widowControl w:val="false"/>
        <w:tabs>
          <w:tab w:val="clear" w:pos="708"/>
          <w:tab w:val="left" w:pos="426" w:leader="none"/>
          <w:tab w:val="left" w:pos="5554" w:leader="none"/>
        </w:tabs>
        <w:spacing w:lineRule="auto" w:line="240" w:before="0" w:after="0"/>
        <w:ind w:firstLine="709"/>
        <w:jc w:val="center"/>
        <w:rPr>
          <w:rFonts w:ascii="Times New Roman" w:hAnsi="Times New Roman"/>
          <w:b/>
          <w:b/>
          <w:sz w:val="24"/>
          <w:szCs w:val="24"/>
          <w:lang w:val="uk-UA"/>
        </w:rPr>
      </w:pPr>
      <w:r>
        <w:rPr>
          <w:b/>
          <w:sz w:val="24"/>
          <w:szCs w:val="24"/>
          <w:lang w:val="uk-UA"/>
        </w:rPr>
      </w:r>
    </w:p>
    <w:tbl>
      <w:tblPr>
        <w:tblW w:w="9360" w:type="dxa"/>
        <w:jc w:val="left"/>
        <w:tblInd w:w="0" w:type="dxa"/>
        <w:tblCellMar>
          <w:top w:w="55" w:type="dxa"/>
          <w:left w:w="55" w:type="dxa"/>
          <w:bottom w:w="55" w:type="dxa"/>
          <w:right w:w="55" w:type="dxa"/>
        </w:tblCellMar>
        <w:tblLook w:val="04a0" w:noHBand="0" w:noVBand="1" w:firstColumn="1" w:lastRow="0" w:lastColumn="0" w:firstRow="1"/>
      </w:tblPr>
      <w:tblGrid>
        <w:gridCol w:w="7655"/>
        <w:gridCol w:w="1704"/>
      </w:tblGrid>
      <w:tr>
        <w:trPr/>
        <w:tc>
          <w:tcPr>
            <w:tcW w:w="7655" w:type="dxa"/>
            <w:tcBorders>
              <w:top w:val="single" w:sz="2" w:space="0" w:color="000000"/>
              <w:left w:val="single" w:sz="2" w:space="0" w:color="000000"/>
              <w:bottom w:val="single" w:sz="2" w:space="0" w:color="000000"/>
            </w:tcBorders>
            <w:vAlign w:val="center"/>
          </w:tcPr>
          <w:p>
            <w:pPr>
              <w:pStyle w:val="Standard"/>
              <w:widowControl w:val="false"/>
              <w:spacing w:lineRule="auto" w:line="240" w:before="0" w:after="0"/>
              <w:jc w:val="center"/>
              <w:rPr>
                <w:sz w:val="24"/>
                <w:szCs w:val="24"/>
                <w:lang w:val="uk-UA"/>
              </w:rPr>
            </w:pPr>
            <w:r>
              <w:rPr>
                <w:b/>
                <w:sz w:val="24"/>
                <w:szCs w:val="24"/>
                <w:lang w:val="uk-UA" w:eastAsia="ru-RU"/>
              </w:rPr>
              <w:t>Зміст оцінюваної діяльності</w:t>
            </w:r>
          </w:p>
        </w:tc>
        <w:tc>
          <w:tcPr>
            <w:tcW w:w="1704" w:type="dxa"/>
            <w:tcBorders>
              <w:top w:val="single" w:sz="2" w:space="0" w:color="000000"/>
              <w:left w:val="single" w:sz="2" w:space="0" w:color="000000"/>
              <w:bottom w:val="single" w:sz="2" w:space="0" w:color="000000"/>
              <w:right w:val="single" w:sz="2" w:space="0" w:color="000000"/>
            </w:tcBorders>
            <w:vAlign w:val="center"/>
          </w:tcPr>
          <w:p>
            <w:pPr>
              <w:pStyle w:val="Standard"/>
              <w:widowControl w:val="false"/>
              <w:spacing w:lineRule="auto" w:line="240" w:before="0" w:after="0"/>
              <w:jc w:val="center"/>
              <w:rPr>
                <w:sz w:val="24"/>
                <w:szCs w:val="24"/>
                <w:lang w:val="uk-UA"/>
              </w:rPr>
            </w:pPr>
            <w:r>
              <w:rPr>
                <w:b/>
                <w:sz w:val="24"/>
                <w:szCs w:val="24"/>
                <w:lang w:val="uk-UA" w:eastAsia="ru-RU"/>
              </w:rPr>
              <w:t>Кількість балів</w:t>
            </w:r>
          </w:p>
        </w:tc>
      </w:tr>
      <w:tr>
        <w:trPr/>
        <w:tc>
          <w:tcPr>
            <w:tcW w:w="7655" w:type="dxa"/>
            <w:tcBorders>
              <w:left w:val="single" w:sz="2" w:space="0" w:color="000000"/>
              <w:bottom w:val="single" w:sz="2" w:space="0" w:color="000000"/>
            </w:tcBorders>
            <w:vAlign w:val="center"/>
          </w:tcPr>
          <w:p>
            <w:pPr>
              <w:pStyle w:val="Standard"/>
              <w:widowControl w:val="false"/>
              <w:tabs>
                <w:tab w:val="clear" w:pos="708"/>
                <w:tab w:val="left" w:pos="426" w:leader="none"/>
                <w:tab w:val="left" w:pos="5554" w:leader="none"/>
              </w:tabs>
              <w:spacing w:before="0" w:after="0"/>
              <w:rPr>
                <w:sz w:val="24"/>
                <w:szCs w:val="24"/>
                <w:lang w:val="uk-UA"/>
              </w:rPr>
            </w:pPr>
            <w:r>
              <w:rPr>
                <w:sz w:val="24"/>
                <w:szCs w:val="24"/>
                <w:lang w:val="uk-UA" w:eastAsia="ru-RU"/>
              </w:rPr>
              <w:t>Проходження симуляційних сценаріїв</w:t>
            </w:r>
          </w:p>
        </w:tc>
        <w:tc>
          <w:tcPr>
            <w:tcW w:w="1704" w:type="dxa"/>
            <w:tcBorders>
              <w:left w:val="single" w:sz="2" w:space="0" w:color="000000"/>
              <w:bottom w:val="single" w:sz="2" w:space="0" w:color="000000"/>
              <w:right w:val="single" w:sz="2" w:space="0" w:color="000000"/>
            </w:tcBorders>
            <w:vAlign w:val="center"/>
          </w:tcPr>
          <w:p>
            <w:pPr>
              <w:pStyle w:val="Style29"/>
              <w:jc w:val="center"/>
              <w:rPr>
                <w:sz w:val="24"/>
                <w:szCs w:val="24"/>
                <w:lang w:val="uk-UA"/>
              </w:rPr>
            </w:pPr>
            <w:r>
              <w:rPr>
                <w:sz w:val="24"/>
                <w:szCs w:val="24"/>
                <w:lang w:val="uk-UA" w:eastAsia="ru-RU"/>
              </w:rPr>
              <w:t>2</w:t>
            </w:r>
          </w:p>
        </w:tc>
      </w:tr>
      <w:tr>
        <w:trPr/>
        <w:tc>
          <w:tcPr>
            <w:tcW w:w="7655" w:type="dxa"/>
            <w:tcBorders>
              <w:left w:val="single" w:sz="2" w:space="0" w:color="000000"/>
              <w:bottom w:val="single" w:sz="2" w:space="0" w:color="000000"/>
            </w:tcBorders>
            <w:vAlign w:val="center"/>
          </w:tcPr>
          <w:p>
            <w:pPr>
              <w:pStyle w:val="Style29"/>
              <w:rPr>
                <w:sz w:val="24"/>
                <w:szCs w:val="24"/>
                <w:lang w:val="uk-UA"/>
              </w:rPr>
            </w:pPr>
            <w:r>
              <w:rPr>
                <w:sz w:val="24"/>
                <w:szCs w:val="24"/>
                <w:lang w:val="uk-UA" w:eastAsia="ru-RU"/>
              </w:rPr>
              <w:t>Демонстрація практичних навичок на муляжах та манекенах</w:t>
            </w:r>
          </w:p>
        </w:tc>
        <w:tc>
          <w:tcPr>
            <w:tcW w:w="1704" w:type="dxa"/>
            <w:tcBorders>
              <w:left w:val="single" w:sz="2" w:space="0" w:color="000000"/>
              <w:bottom w:val="single" w:sz="2" w:space="0" w:color="000000"/>
              <w:right w:val="single" w:sz="2" w:space="0" w:color="000000"/>
            </w:tcBorders>
            <w:vAlign w:val="center"/>
          </w:tcPr>
          <w:p>
            <w:pPr>
              <w:pStyle w:val="Style29"/>
              <w:jc w:val="center"/>
              <w:rPr>
                <w:sz w:val="24"/>
                <w:szCs w:val="24"/>
                <w:lang w:val="uk-UA"/>
              </w:rPr>
            </w:pPr>
            <w:r>
              <w:rPr>
                <w:sz w:val="24"/>
                <w:szCs w:val="24"/>
                <w:lang w:val="uk-UA" w:eastAsia="ru-RU"/>
              </w:rPr>
              <w:t>2</w:t>
            </w:r>
          </w:p>
        </w:tc>
      </w:tr>
      <w:tr>
        <w:trPr/>
        <w:tc>
          <w:tcPr>
            <w:tcW w:w="7655" w:type="dxa"/>
            <w:tcBorders>
              <w:left w:val="single" w:sz="2" w:space="0" w:color="000000"/>
              <w:bottom w:val="single" w:sz="2" w:space="0" w:color="000000"/>
            </w:tcBorders>
            <w:vAlign w:val="center"/>
          </w:tcPr>
          <w:p>
            <w:pPr>
              <w:pStyle w:val="Style29"/>
              <w:rPr>
                <w:sz w:val="24"/>
                <w:szCs w:val="24"/>
                <w:lang w:val="uk-UA"/>
              </w:rPr>
            </w:pPr>
            <w:r>
              <w:rPr>
                <w:sz w:val="24"/>
                <w:szCs w:val="24"/>
                <w:lang w:val="uk-UA" w:eastAsia="ru-RU"/>
              </w:rPr>
              <w:t>Теоретичне питання</w:t>
            </w:r>
          </w:p>
        </w:tc>
        <w:tc>
          <w:tcPr>
            <w:tcW w:w="1704" w:type="dxa"/>
            <w:tcBorders>
              <w:left w:val="single" w:sz="2" w:space="0" w:color="000000"/>
              <w:bottom w:val="single" w:sz="2" w:space="0" w:color="000000"/>
              <w:right w:val="single" w:sz="2" w:space="0" w:color="000000"/>
            </w:tcBorders>
            <w:vAlign w:val="center"/>
          </w:tcPr>
          <w:p>
            <w:pPr>
              <w:pStyle w:val="Style29"/>
              <w:jc w:val="center"/>
              <w:rPr>
                <w:sz w:val="24"/>
                <w:szCs w:val="24"/>
                <w:lang w:val="uk-UA"/>
              </w:rPr>
            </w:pPr>
            <w:r>
              <w:rPr>
                <w:sz w:val="24"/>
                <w:szCs w:val="24"/>
                <w:lang w:val="uk-UA" w:eastAsia="ru-RU"/>
              </w:rPr>
              <w:t>1</w:t>
            </w:r>
          </w:p>
        </w:tc>
      </w:tr>
      <w:tr>
        <w:trPr/>
        <w:tc>
          <w:tcPr>
            <w:tcW w:w="7655" w:type="dxa"/>
            <w:tcBorders>
              <w:left w:val="single" w:sz="2" w:space="0" w:color="000000"/>
              <w:bottom w:val="single" w:sz="2" w:space="0" w:color="000000"/>
            </w:tcBorders>
            <w:vAlign w:val="center"/>
          </w:tcPr>
          <w:p>
            <w:pPr>
              <w:pStyle w:val="Style29"/>
              <w:rPr>
                <w:sz w:val="24"/>
                <w:szCs w:val="24"/>
                <w:lang w:val="uk-UA"/>
              </w:rPr>
            </w:pPr>
            <w:r>
              <w:rPr>
                <w:b/>
                <w:bCs/>
                <w:sz w:val="24"/>
                <w:szCs w:val="24"/>
                <w:lang w:val="uk-UA" w:eastAsia="ru-RU"/>
              </w:rPr>
              <w:t>Разом</w:t>
            </w:r>
          </w:p>
        </w:tc>
        <w:tc>
          <w:tcPr>
            <w:tcW w:w="1704" w:type="dxa"/>
            <w:tcBorders>
              <w:left w:val="single" w:sz="2" w:space="0" w:color="000000"/>
              <w:bottom w:val="single" w:sz="2" w:space="0" w:color="000000"/>
              <w:right w:val="single" w:sz="2" w:space="0" w:color="000000"/>
            </w:tcBorders>
            <w:vAlign w:val="center"/>
          </w:tcPr>
          <w:p>
            <w:pPr>
              <w:pStyle w:val="Style29"/>
              <w:jc w:val="center"/>
              <w:rPr>
                <w:sz w:val="24"/>
                <w:szCs w:val="24"/>
                <w:lang w:val="uk-UA"/>
              </w:rPr>
            </w:pPr>
            <w:r>
              <w:rPr>
                <w:b/>
                <w:bCs/>
                <w:sz w:val="24"/>
                <w:szCs w:val="24"/>
                <w:lang w:val="uk-UA" w:eastAsia="ru-RU"/>
              </w:rPr>
              <w:t>5,0</w:t>
            </w:r>
          </w:p>
        </w:tc>
      </w:tr>
    </w:tbl>
    <w:p>
      <w:pPr>
        <w:pStyle w:val="Standard"/>
        <w:rPr>
          <w:rFonts w:ascii="Times New Roman" w:hAnsi="Times New Roman"/>
          <w:sz w:val="24"/>
          <w:szCs w:val="24"/>
          <w:lang w:val="uk-UA"/>
        </w:rPr>
      </w:pPr>
      <w:r>
        <w:rPr>
          <w:sz w:val="24"/>
          <w:szCs w:val="24"/>
          <w:lang w:val="uk-UA"/>
        </w:rPr>
      </w:r>
    </w:p>
    <w:p>
      <w:pPr>
        <w:pStyle w:val="Standard"/>
        <w:jc w:val="center"/>
        <w:rPr>
          <w:sz w:val="24"/>
          <w:szCs w:val="24"/>
          <w:lang w:val="uk-UA"/>
        </w:rPr>
      </w:pPr>
      <w:r>
        <w:rPr>
          <w:b/>
          <w:sz w:val="24"/>
          <w:szCs w:val="24"/>
          <w:lang w:val="uk-UA" w:eastAsia="ru-RU"/>
        </w:rPr>
        <w:t>Критерії оцінювання результатів навчання здобувачів під час підсумкового контролю — диференційованого заліку</w:t>
      </w:r>
    </w:p>
    <w:tbl>
      <w:tblPr>
        <w:tblW w:w="9570" w:type="dxa"/>
        <w:jc w:val="left"/>
        <w:tblInd w:w="-108" w:type="dxa"/>
        <w:tblCellMar>
          <w:top w:w="0" w:type="dxa"/>
          <w:left w:w="108" w:type="dxa"/>
          <w:bottom w:w="0" w:type="dxa"/>
          <w:right w:w="108" w:type="dxa"/>
        </w:tblCellMar>
        <w:tblLook w:val="04a0" w:noHBand="0" w:noVBand="1" w:firstColumn="1" w:lastRow="0" w:lastColumn="0" w:firstRow="1"/>
      </w:tblPr>
      <w:tblGrid>
        <w:gridCol w:w="1980"/>
        <w:gridCol w:w="7589"/>
      </w:tblGrid>
      <w:tr>
        <w:trPr/>
        <w:tc>
          <w:tcPr>
            <w:tcW w:w="1980" w:type="dxa"/>
            <w:tcBorders>
              <w:top w:val="single" w:sz="4" w:space="0" w:color="000000"/>
              <w:left w:val="single" w:sz="4" w:space="0" w:color="000000"/>
              <w:bottom w:val="single" w:sz="4" w:space="0" w:color="000000"/>
              <w:right w:val="single" w:sz="4" w:space="0" w:color="000000"/>
            </w:tcBorders>
            <w:vAlign w:val="center"/>
          </w:tcPr>
          <w:p>
            <w:pPr>
              <w:pStyle w:val="Standard"/>
              <w:widowControl w:val="false"/>
              <w:jc w:val="center"/>
              <w:rPr>
                <w:sz w:val="24"/>
                <w:szCs w:val="24"/>
                <w:lang w:val="uk-UA"/>
              </w:rPr>
            </w:pPr>
            <w:r>
              <w:rPr>
                <w:b/>
                <w:sz w:val="24"/>
                <w:szCs w:val="24"/>
                <w:lang w:val="uk-UA"/>
              </w:rPr>
              <w:t>Оцінка</w:t>
            </w:r>
          </w:p>
        </w:tc>
        <w:tc>
          <w:tcPr>
            <w:tcW w:w="7589" w:type="dxa"/>
            <w:tcBorders>
              <w:top w:val="single" w:sz="4" w:space="0" w:color="000000"/>
              <w:left w:val="single" w:sz="4" w:space="0" w:color="000000"/>
              <w:bottom w:val="single" w:sz="4" w:space="0" w:color="000000"/>
              <w:right w:val="single" w:sz="4" w:space="0" w:color="000000"/>
            </w:tcBorders>
            <w:vAlign w:val="center"/>
          </w:tcPr>
          <w:p>
            <w:pPr>
              <w:pStyle w:val="Standard"/>
              <w:widowControl w:val="false"/>
              <w:jc w:val="center"/>
              <w:rPr>
                <w:sz w:val="24"/>
                <w:szCs w:val="24"/>
                <w:lang w:val="uk-UA"/>
              </w:rPr>
            </w:pPr>
            <w:r>
              <w:rPr>
                <w:b/>
                <w:sz w:val="24"/>
                <w:szCs w:val="24"/>
                <w:lang w:val="uk-UA"/>
              </w:rPr>
              <w:t>Критерії оцінювання</w:t>
            </w:r>
          </w:p>
        </w:tc>
      </w:tr>
      <w:tr>
        <w:trPr/>
        <w:tc>
          <w:tcPr>
            <w:tcW w:w="1980" w:type="dxa"/>
            <w:tcBorders>
              <w:top w:val="single" w:sz="4" w:space="0" w:color="000000"/>
              <w:left w:val="single" w:sz="4" w:space="0" w:color="000000"/>
              <w:bottom w:val="single" w:sz="4" w:space="0" w:color="000000"/>
              <w:right w:val="single" w:sz="4" w:space="0" w:color="000000"/>
            </w:tcBorders>
            <w:vAlign w:val="center"/>
          </w:tcPr>
          <w:p>
            <w:pPr>
              <w:pStyle w:val="Standard"/>
              <w:widowControl w:val="false"/>
              <w:jc w:val="center"/>
              <w:rPr>
                <w:sz w:val="24"/>
                <w:szCs w:val="24"/>
                <w:lang w:val="uk-UA"/>
              </w:rPr>
            </w:pPr>
            <w:r>
              <w:rPr>
                <w:sz w:val="24"/>
                <w:szCs w:val="24"/>
                <w:lang w:val="uk-UA"/>
              </w:rPr>
              <w:t>Відмінно</w:t>
            </w:r>
          </w:p>
          <w:p>
            <w:pPr>
              <w:pStyle w:val="Standard"/>
              <w:widowControl w:val="false"/>
              <w:jc w:val="center"/>
              <w:rPr>
                <w:sz w:val="24"/>
                <w:szCs w:val="24"/>
                <w:lang w:val="uk-UA"/>
              </w:rPr>
            </w:pPr>
            <w:r>
              <w:rPr>
                <w:sz w:val="24"/>
                <w:szCs w:val="24"/>
                <w:lang w:val="uk-UA"/>
              </w:rPr>
              <w:t>«5»</w:t>
            </w:r>
          </w:p>
        </w:tc>
        <w:tc>
          <w:tcPr>
            <w:tcW w:w="7589" w:type="dxa"/>
            <w:tcBorders>
              <w:top w:val="single" w:sz="4" w:space="0" w:color="000000"/>
              <w:left w:val="single" w:sz="4" w:space="0" w:color="000000"/>
              <w:bottom w:val="single" w:sz="4" w:space="0" w:color="000000"/>
              <w:right w:val="single" w:sz="4" w:space="0" w:color="000000"/>
            </w:tcBorders>
            <w:vAlign w:val="center"/>
          </w:tcPr>
          <w:p>
            <w:pPr>
              <w:pStyle w:val="Standard"/>
              <w:widowControl w:val="false"/>
              <w:jc w:val="both"/>
              <w:rPr>
                <w:sz w:val="24"/>
                <w:szCs w:val="24"/>
                <w:lang w:val="uk-UA"/>
              </w:rPr>
            </w:pPr>
            <w:r>
              <w:rPr>
                <w:sz w:val="24"/>
                <w:szCs w:val="24"/>
                <w:lang w:val="uk-UA"/>
              </w:rPr>
              <w:t xml:space="preserve">Здобувач освіти правильно, точно і повно виконав всі завдання з практичних навичок, чітко і логічно відповів на поставлені екзаменаторами запитання. Ґрунтовно і всебічно знає зміст теоретичних питань, вільно володіє професійною та науковою термінологією. Логічно мислить і будує відповідь, вільно використовує набуті теоретичні знання при аналізі практичних завдань. При вирішенні клінічної задачі правильно інтерпретував наведені дані, правильно відповідав на всі поставлені питання і переконливо обґрунтовував свою точку зору, може запропонувати та обґрунтувати альтернативний варіант рішення з окремих питань. При розв’язанні практичного завдання за типом ОСКІ правильно демонстрував виконання практичних навичок </w:t>
            </w:r>
            <w:r>
              <w:rPr>
                <w:bCs/>
                <w:sz w:val="24"/>
                <w:szCs w:val="24"/>
                <w:lang w:val="uk-UA"/>
              </w:rPr>
              <w:t>на симуляційних муляжах та манекенах</w:t>
            </w:r>
            <w:r>
              <w:rPr>
                <w:sz w:val="24"/>
                <w:szCs w:val="24"/>
                <w:lang w:val="uk-UA"/>
              </w:rPr>
              <w:t>, точно дотримувався алгоритму їхнього виконання</w:t>
            </w:r>
          </w:p>
        </w:tc>
      </w:tr>
      <w:tr>
        <w:trPr/>
        <w:tc>
          <w:tcPr>
            <w:tcW w:w="1980" w:type="dxa"/>
            <w:tcBorders>
              <w:top w:val="single" w:sz="4" w:space="0" w:color="000000"/>
              <w:left w:val="single" w:sz="4" w:space="0" w:color="000000"/>
              <w:bottom w:val="single" w:sz="4" w:space="0" w:color="000000"/>
              <w:right w:val="single" w:sz="4" w:space="0" w:color="000000"/>
            </w:tcBorders>
            <w:vAlign w:val="center"/>
          </w:tcPr>
          <w:p>
            <w:pPr>
              <w:pStyle w:val="Standard"/>
              <w:widowControl w:val="false"/>
              <w:jc w:val="center"/>
              <w:rPr>
                <w:sz w:val="24"/>
                <w:szCs w:val="24"/>
                <w:lang w:val="uk-UA"/>
              </w:rPr>
            </w:pPr>
            <w:r>
              <w:rPr>
                <w:sz w:val="24"/>
                <w:szCs w:val="24"/>
                <w:lang w:val="uk-UA"/>
              </w:rPr>
              <w:t>Добре</w:t>
            </w:r>
          </w:p>
          <w:p>
            <w:pPr>
              <w:pStyle w:val="Standard"/>
              <w:widowControl w:val="false"/>
              <w:jc w:val="center"/>
              <w:rPr>
                <w:sz w:val="24"/>
                <w:szCs w:val="24"/>
                <w:lang w:val="uk-UA"/>
              </w:rPr>
            </w:pPr>
            <w:r>
              <w:rPr>
                <w:sz w:val="24"/>
                <w:szCs w:val="24"/>
                <w:lang w:val="uk-UA"/>
              </w:rPr>
              <w:t>«4»</w:t>
            </w:r>
          </w:p>
        </w:tc>
        <w:tc>
          <w:tcPr>
            <w:tcW w:w="7589" w:type="dxa"/>
            <w:tcBorders>
              <w:top w:val="single" w:sz="4" w:space="0" w:color="000000"/>
              <w:left w:val="single" w:sz="4" w:space="0" w:color="000000"/>
              <w:bottom w:val="single" w:sz="4" w:space="0" w:color="000000"/>
              <w:right w:val="single" w:sz="4" w:space="0" w:color="000000"/>
            </w:tcBorders>
            <w:vAlign w:val="center"/>
          </w:tcPr>
          <w:p>
            <w:pPr>
              <w:pStyle w:val="Standard"/>
              <w:widowControl w:val="false"/>
              <w:jc w:val="both"/>
              <w:rPr>
                <w:sz w:val="24"/>
                <w:szCs w:val="24"/>
                <w:lang w:val="uk-UA"/>
              </w:rPr>
            </w:pPr>
            <w:r>
              <w:rPr>
                <w:sz w:val="24"/>
                <w:szCs w:val="24"/>
                <w:lang w:val="uk-UA"/>
              </w:rPr>
              <w:t xml:space="preserve">Здобувач освіти достатньо повно виконав всі завдання з практичних навичок, чітко і логічно відповів на поставлені екзаменаторами запитання.  Достатньо глибоко і всебічно знає зміст теоретичних питань, володіє професійною та науковою термінологією. Логічно мислить і будує відповідь, використовує набуті теоретичні знання при аналізі практичних завдань. Але при викладанні деяких питань не вистачає достатньої глибини та аргументації, допускає несуттєві помилки, які усуваються самим здобувачем, коли на них вказує екзаменатор. При вирішенні клінічної задачі припускався несуттєвих помилок чи неточностей в інтерпретації наведених даних, без суттєвих помилок відповідав на всі поставлені питання, повно обґрунтовував свою точку зору, проте пропозиції альтернативного варіанту викликають утруднення. При розв’язанні практичного завдання за типом ОСКІ допустив незначні похибки в алгоритмі та техніці виконання навички </w:t>
            </w:r>
            <w:r>
              <w:rPr>
                <w:bCs/>
                <w:sz w:val="24"/>
                <w:szCs w:val="24"/>
                <w:lang w:val="uk-UA"/>
              </w:rPr>
              <w:t>на симуляційних муляжах та манекенах</w:t>
            </w:r>
            <w:r>
              <w:rPr>
                <w:sz w:val="24"/>
                <w:szCs w:val="24"/>
                <w:lang w:val="uk-UA"/>
              </w:rPr>
              <w:t>, виправлені за вказівкою викладача</w:t>
            </w:r>
          </w:p>
        </w:tc>
      </w:tr>
      <w:tr>
        <w:trPr/>
        <w:tc>
          <w:tcPr>
            <w:tcW w:w="1980" w:type="dxa"/>
            <w:tcBorders>
              <w:top w:val="single" w:sz="4" w:space="0" w:color="000000"/>
              <w:left w:val="single" w:sz="4" w:space="0" w:color="000000"/>
              <w:bottom w:val="single" w:sz="4" w:space="0" w:color="000000"/>
              <w:right w:val="single" w:sz="4" w:space="0" w:color="000000"/>
            </w:tcBorders>
            <w:vAlign w:val="center"/>
          </w:tcPr>
          <w:p>
            <w:pPr>
              <w:pStyle w:val="Standard"/>
              <w:widowControl w:val="false"/>
              <w:jc w:val="center"/>
              <w:rPr>
                <w:sz w:val="24"/>
                <w:szCs w:val="24"/>
                <w:lang w:val="uk-UA"/>
              </w:rPr>
            </w:pPr>
            <w:r>
              <w:rPr>
                <w:sz w:val="24"/>
                <w:szCs w:val="24"/>
                <w:lang w:val="uk-UA"/>
              </w:rPr>
              <w:t>Задовільно</w:t>
            </w:r>
          </w:p>
          <w:p>
            <w:pPr>
              <w:pStyle w:val="Standard"/>
              <w:widowControl w:val="false"/>
              <w:jc w:val="center"/>
              <w:rPr>
                <w:sz w:val="24"/>
                <w:szCs w:val="24"/>
                <w:lang w:val="uk-UA"/>
              </w:rPr>
            </w:pPr>
            <w:r>
              <w:rPr>
                <w:sz w:val="24"/>
                <w:szCs w:val="24"/>
                <w:lang w:val="uk-UA"/>
              </w:rPr>
              <w:t>«3»</w:t>
            </w:r>
          </w:p>
        </w:tc>
        <w:tc>
          <w:tcPr>
            <w:tcW w:w="7589" w:type="dxa"/>
            <w:tcBorders>
              <w:top w:val="single" w:sz="4" w:space="0" w:color="000000"/>
              <w:left w:val="single" w:sz="4" w:space="0" w:color="000000"/>
              <w:bottom w:val="single" w:sz="4" w:space="0" w:color="000000"/>
              <w:right w:val="single" w:sz="4" w:space="0" w:color="000000"/>
            </w:tcBorders>
            <w:vAlign w:val="center"/>
          </w:tcPr>
          <w:p>
            <w:pPr>
              <w:pStyle w:val="Standard"/>
              <w:widowControl w:val="false"/>
              <w:jc w:val="both"/>
              <w:rPr>
                <w:sz w:val="24"/>
                <w:szCs w:val="24"/>
                <w:lang w:val="uk-UA"/>
              </w:rPr>
            </w:pPr>
            <w:r>
              <w:rPr>
                <w:sz w:val="24"/>
                <w:szCs w:val="24"/>
                <w:lang w:val="uk-UA"/>
              </w:rPr>
              <w:t xml:space="preserve">Здобувач освіти у неповному обсязі виконав всі завдання з практичних навичок, відповіді на додаткові та навідні запитання мають нечіткий, розпливчастий характер. Володіє основним обсягом теоретичних знань, неточно використовує професійну та наукову термінологію. Відчуває значні труднощі при побудові самостійної логічної відповіді, у застосуванні теоретичних знань при аналізі практичних завдань. У відповідях мають місце суттєві помилки. При вирішенні клінічної задачі з помилками інтерпретував наведені дані, не знав окремих деталей, допускав неточності у відповідях на питання, недостатньо правильно обґрунтовував свої відповіді та трактував формулювання, відчував труднощі у виконанні завдань та пропозиції альтернативних варіантів. При розв’язанні практичного завдання за типом ОСКІ припустився значних похибок у алгоритмі та техніці виконання навички </w:t>
            </w:r>
            <w:r>
              <w:rPr>
                <w:bCs/>
                <w:sz w:val="24"/>
                <w:szCs w:val="24"/>
                <w:lang w:val="uk-UA"/>
              </w:rPr>
              <w:t>на симуляційних муляжах та манекенах</w:t>
            </w:r>
          </w:p>
        </w:tc>
      </w:tr>
      <w:tr>
        <w:trPr/>
        <w:tc>
          <w:tcPr>
            <w:tcW w:w="1980" w:type="dxa"/>
            <w:tcBorders>
              <w:top w:val="single" w:sz="4" w:space="0" w:color="000000"/>
              <w:left w:val="single" w:sz="4" w:space="0" w:color="000000"/>
              <w:bottom w:val="single" w:sz="4" w:space="0" w:color="000000"/>
              <w:right w:val="single" w:sz="4" w:space="0" w:color="000000"/>
            </w:tcBorders>
            <w:vAlign w:val="center"/>
          </w:tcPr>
          <w:p>
            <w:pPr>
              <w:pStyle w:val="Standard"/>
              <w:widowControl w:val="false"/>
              <w:jc w:val="center"/>
              <w:rPr>
                <w:sz w:val="24"/>
                <w:szCs w:val="24"/>
                <w:lang w:val="uk-UA"/>
              </w:rPr>
            </w:pPr>
            <w:r>
              <w:rPr>
                <w:sz w:val="24"/>
                <w:szCs w:val="24"/>
                <w:lang w:val="uk-UA"/>
              </w:rPr>
              <w:t>Незадовільно</w:t>
            </w:r>
          </w:p>
          <w:p>
            <w:pPr>
              <w:pStyle w:val="Standard"/>
              <w:widowControl w:val="false"/>
              <w:jc w:val="center"/>
              <w:rPr>
                <w:sz w:val="24"/>
                <w:szCs w:val="24"/>
                <w:lang w:val="uk-UA"/>
              </w:rPr>
            </w:pPr>
            <w:r>
              <w:rPr>
                <w:sz w:val="24"/>
                <w:szCs w:val="24"/>
                <w:lang w:val="uk-UA"/>
              </w:rPr>
              <w:t>«2»</w:t>
            </w:r>
          </w:p>
        </w:tc>
        <w:tc>
          <w:tcPr>
            <w:tcW w:w="7589" w:type="dxa"/>
            <w:tcBorders>
              <w:top w:val="single" w:sz="4" w:space="0" w:color="000000"/>
              <w:left w:val="single" w:sz="4" w:space="0" w:color="000000"/>
              <w:bottom w:val="single" w:sz="4" w:space="0" w:color="000000"/>
              <w:right w:val="single" w:sz="4" w:space="0" w:color="000000"/>
            </w:tcBorders>
            <w:vAlign w:val="center"/>
          </w:tcPr>
          <w:p>
            <w:pPr>
              <w:pStyle w:val="Standard"/>
              <w:widowControl w:val="false"/>
              <w:jc w:val="both"/>
              <w:rPr>
                <w:sz w:val="24"/>
                <w:szCs w:val="24"/>
                <w:lang w:val="uk-UA"/>
              </w:rPr>
            </w:pPr>
            <w:r>
              <w:rPr>
                <w:sz w:val="24"/>
                <w:szCs w:val="24"/>
                <w:lang w:val="uk-UA"/>
              </w:rPr>
              <w:t xml:space="preserve">Здобувач освіти не виконав завдання з практичних навичок, у більшості випадків не дав відповіді на додаткові та навідні запитання екзаменаторів. Не опанував основний обсяг теоретичних знань, виявив низький рівень володіння професійною та науковою термінологією. Відповіді на питання є фрагментарними, непослідовними, нелогічними, не може застосовувати теоретичні знання при аналізі практичних завдань. У відповідях має місце значна кількість грубих помилок. При вирішенні клінічної задачі не міг інтерпретувати отримані наведені дані, відповісти на поставлені питання, або допускав у відповідях суттєві помилки; не міг обґрунтувати свої рішення чи робив це не переконливо. Альтернативних варіантів не пропонував. При розв’язанні практичного завдання за типом ОСКІ не продемонстрував або припустився грубих помилок і похибок в алгоритмі та техніці виконання навички </w:t>
            </w:r>
            <w:r>
              <w:rPr>
                <w:bCs/>
                <w:sz w:val="24"/>
                <w:szCs w:val="24"/>
                <w:lang w:val="uk-UA"/>
              </w:rPr>
              <w:t>на симуляційних муляжах та манекенах</w:t>
            </w:r>
          </w:p>
        </w:tc>
      </w:tr>
    </w:tbl>
    <w:p>
      <w:pPr>
        <w:pStyle w:val="Standard"/>
        <w:widowControl w:val="false"/>
        <w:tabs>
          <w:tab w:val="clear" w:pos="708"/>
          <w:tab w:val="left" w:pos="0" w:leader="none"/>
          <w:tab w:val="left" w:pos="142" w:leader="none"/>
        </w:tabs>
        <w:spacing w:lineRule="auto" w:line="240" w:before="0" w:after="0"/>
        <w:ind w:firstLine="708"/>
        <w:jc w:val="center"/>
        <w:rPr>
          <w:rFonts w:ascii="Times New Roman" w:hAnsi="Times New Roman"/>
          <w:b/>
          <w:b/>
          <w:bCs/>
          <w:color w:val="0070C0"/>
          <w:sz w:val="24"/>
          <w:szCs w:val="24"/>
          <w:lang w:val="uk-UA"/>
        </w:rPr>
      </w:pPr>
      <w:r>
        <w:rPr>
          <w:b/>
          <w:bCs/>
          <w:color w:val="0070C0"/>
          <w:sz w:val="24"/>
          <w:szCs w:val="24"/>
          <w:lang w:val="uk-UA"/>
        </w:rPr>
      </w:r>
    </w:p>
    <w:p>
      <w:pPr>
        <w:pStyle w:val="Standard"/>
        <w:widowControl w:val="false"/>
        <w:tabs>
          <w:tab w:val="clear" w:pos="708"/>
          <w:tab w:val="left" w:pos="0" w:leader="none"/>
          <w:tab w:val="left" w:pos="426" w:leader="none"/>
          <w:tab w:val="left" w:pos="5554" w:leader="none"/>
        </w:tabs>
        <w:spacing w:lineRule="auto" w:line="240" w:before="0" w:after="0"/>
        <w:jc w:val="center"/>
        <w:rPr>
          <w:sz w:val="24"/>
          <w:szCs w:val="24"/>
          <w:lang w:val="uk-UA"/>
        </w:rPr>
      </w:pPr>
      <w:r>
        <w:rPr>
          <w:b/>
          <w:bCs/>
          <w:color w:val="0070C0"/>
          <w:sz w:val="24"/>
          <w:szCs w:val="24"/>
          <w:lang w:val="uk-UA"/>
        </w:rPr>
        <w:t>САМОСТІЙНА РОБОТА ЗДОБУВАЧІВ ВИЩОЇ ОСВІТИ</w:t>
      </w:r>
    </w:p>
    <w:p>
      <w:pPr>
        <w:pStyle w:val="Standard"/>
        <w:widowControl w:val="false"/>
        <w:tabs>
          <w:tab w:val="clear" w:pos="708"/>
          <w:tab w:val="left" w:pos="0" w:leader="none"/>
          <w:tab w:val="left" w:pos="426" w:leader="none"/>
          <w:tab w:val="left" w:pos="5554" w:leader="none"/>
        </w:tabs>
        <w:spacing w:lineRule="auto" w:line="240" w:before="0" w:after="0"/>
        <w:jc w:val="center"/>
        <w:rPr>
          <w:rFonts w:ascii="Times New Roman" w:hAnsi="Times New Roman"/>
          <w:b/>
          <w:b/>
          <w:bCs/>
          <w:color w:val="0070C0"/>
          <w:sz w:val="24"/>
          <w:szCs w:val="24"/>
          <w:lang w:val="uk-UA"/>
        </w:rPr>
      </w:pPr>
      <w:r>
        <w:rPr>
          <w:b/>
          <w:bCs/>
          <w:color w:val="0070C0"/>
          <w:sz w:val="24"/>
          <w:szCs w:val="24"/>
          <w:lang w:val="uk-UA"/>
        </w:rPr>
      </w:r>
    </w:p>
    <w:p>
      <w:pPr>
        <w:pStyle w:val="Standard"/>
        <w:numPr>
          <w:ilvl w:val="0"/>
          <w:numId w:val="50"/>
        </w:numPr>
        <w:tabs>
          <w:tab w:val="clear" w:pos="708"/>
          <w:tab w:val="left" w:pos="0" w:leader="none"/>
          <w:tab w:val="left" w:pos="142" w:leader="none"/>
        </w:tabs>
        <w:spacing w:lineRule="auto" w:line="240" w:before="0" w:after="0"/>
        <w:ind w:left="0" w:firstLine="709"/>
        <w:jc w:val="both"/>
        <w:rPr>
          <w:sz w:val="24"/>
          <w:szCs w:val="24"/>
          <w:lang w:val="uk-UA"/>
        </w:rPr>
      </w:pPr>
      <w:r>
        <w:rPr>
          <w:rFonts w:eastAsia="Times New Roman"/>
          <w:bCs/>
          <w:i/>
          <w:iCs/>
          <w:color w:val="000000"/>
          <w:sz w:val="24"/>
          <w:szCs w:val="24"/>
          <w:lang w:val="uk-UA" w:eastAsia="uk-UA"/>
        </w:rPr>
        <w:t xml:space="preserve">Самостійна робота здобувача: </w:t>
      </w:r>
      <w:r>
        <w:rPr>
          <w:rFonts w:eastAsia="Times New Roman"/>
          <w:bCs/>
          <w:color w:val="000000"/>
          <w:sz w:val="24"/>
          <w:szCs w:val="24"/>
          <w:lang w:val="uk-UA" w:eastAsia="uk-UA"/>
        </w:rPr>
        <w:t>самостійна робота з рекомендованою основною та додатковою літературою, електронними інформаційними ресурсами, самостійна робота з банком тестових завдань, підготовка до практичних занять.</w:t>
      </w:r>
    </w:p>
    <w:p>
      <w:pPr>
        <w:pStyle w:val="Default"/>
        <w:ind w:firstLine="708"/>
        <w:rPr>
          <w:b/>
          <w:b/>
          <w:color w:val="auto"/>
          <w:sz w:val="24"/>
          <w:szCs w:val="24"/>
          <w:lang w:val="uk-UA" w:eastAsia="zh-CN"/>
        </w:rPr>
      </w:pPr>
      <w:r>
        <w:rPr>
          <w:b/>
          <w:color w:val="auto"/>
          <w:sz w:val="24"/>
          <w:szCs w:val="24"/>
          <w:lang w:val="uk-UA" w:eastAsia="zh-CN"/>
        </w:rPr>
      </w:r>
    </w:p>
    <w:p>
      <w:pPr>
        <w:pStyle w:val="ListParagraph"/>
        <w:widowControl w:val="false"/>
        <w:numPr>
          <w:ilvl w:val="0"/>
          <w:numId w:val="51"/>
        </w:numPr>
        <w:tabs>
          <w:tab w:val="clear" w:pos="708"/>
          <w:tab w:val="left" w:pos="0" w:leader="none"/>
        </w:tabs>
        <w:ind w:left="0" w:hanging="0"/>
        <w:jc w:val="center"/>
        <w:rPr>
          <w:sz w:val="24"/>
          <w:szCs w:val="24"/>
          <w:lang w:val="uk-UA"/>
        </w:rPr>
      </w:pPr>
      <w:r>
        <w:rPr>
          <w:b/>
          <w:bCs/>
          <w:color w:val="0070C0"/>
          <w:sz w:val="24"/>
          <w:szCs w:val="24"/>
          <w:lang w:val="uk-UA"/>
        </w:rPr>
        <w:t xml:space="preserve">ПОЛІТИКА </w:t>
      </w:r>
      <w:r>
        <w:rPr>
          <w:caps/>
          <w:sz w:val="24"/>
          <w:szCs w:val="24"/>
          <w:lang w:val="uk-UA"/>
        </w:rPr>
        <w:t>ПРАКТИКИ</w:t>
      </w:r>
    </w:p>
    <w:p>
      <w:pPr>
        <w:pStyle w:val="ListParagraph"/>
        <w:widowControl w:val="false"/>
        <w:numPr>
          <w:ilvl w:val="0"/>
          <w:numId w:val="52"/>
        </w:numPr>
        <w:tabs>
          <w:tab w:val="clear" w:pos="708"/>
          <w:tab w:val="left" w:pos="0" w:leader="none"/>
        </w:tabs>
        <w:ind w:left="0" w:firstLine="709"/>
        <w:jc w:val="center"/>
        <w:rPr>
          <w:b/>
          <w:b/>
          <w:bCs/>
          <w:color w:val="0070C0"/>
          <w:sz w:val="24"/>
          <w:szCs w:val="24"/>
          <w:lang w:val="uk-UA"/>
        </w:rPr>
      </w:pPr>
      <w:r>
        <w:rPr>
          <w:b/>
          <w:bCs/>
          <w:color w:val="0070C0"/>
          <w:sz w:val="24"/>
          <w:szCs w:val="24"/>
          <w:lang w:val="uk-UA"/>
        </w:rPr>
      </w:r>
    </w:p>
    <w:p>
      <w:pPr>
        <w:pStyle w:val="Standard"/>
        <w:widowControl w:val="false"/>
        <w:numPr>
          <w:ilvl w:val="0"/>
          <w:numId w:val="53"/>
        </w:numPr>
        <w:tabs>
          <w:tab w:val="clear" w:pos="708"/>
          <w:tab w:val="left" w:pos="284" w:leader="none"/>
          <w:tab w:val="left" w:pos="1134" w:leader="none"/>
          <w:tab w:val="left" w:pos="5554" w:leader="none"/>
        </w:tabs>
        <w:spacing w:lineRule="auto" w:line="240" w:before="0" w:after="0"/>
        <w:ind w:left="0" w:firstLine="709"/>
        <w:jc w:val="both"/>
        <w:rPr>
          <w:sz w:val="24"/>
          <w:szCs w:val="24"/>
          <w:lang w:val="uk-UA"/>
        </w:rPr>
      </w:pPr>
      <w:r>
        <w:rPr>
          <w:rFonts w:eastAsia="Times New Roman"/>
          <w:i/>
          <w:sz w:val="24"/>
          <w:szCs w:val="24"/>
          <w:lang w:val="uk-UA" w:eastAsia="zh-CN"/>
        </w:rPr>
        <w:t>Політика щодо дедлайнів та перескладання:</w:t>
      </w:r>
    </w:p>
    <w:p>
      <w:pPr>
        <w:pStyle w:val="Standard"/>
        <w:widowControl w:val="false"/>
        <w:numPr>
          <w:ilvl w:val="0"/>
          <w:numId w:val="17"/>
        </w:numPr>
        <w:tabs>
          <w:tab w:val="clear" w:pos="708"/>
          <w:tab w:val="left" w:pos="-6196" w:leader="none"/>
          <w:tab w:val="left" w:pos="-5346" w:leader="none"/>
          <w:tab w:val="left" w:pos="-926" w:leader="none"/>
        </w:tabs>
        <w:spacing w:lineRule="auto" w:line="240" w:before="0" w:after="0"/>
        <w:jc w:val="both"/>
        <w:rPr>
          <w:sz w:val="24"/>
          <w:szCs w:val="24"/>
          <w:lang w:val="uk-UA"/>
        </w:rPr>
      </w:pPr>
      <w:r>
        <w:rPr>
          <w:rFonts w:eastAsia="Times New Roman"/>
          <w:sz w:val="24"/>
          <w:szCs w:val="24"/>
          <w:lang w:val="uk-UA" w:eastAsia="zh-CN"/>
        </w:rPr>
        <w:t>п</w:t>
      </w:r>
      <w:r>
        <w:rPr>
          <w:sz w:val="24"/>
          <w:szCs w:val="24"/>
          <w:lang w:val="uk-UA"/>
        </w:rPr>
        <w:t>ропуски занять з неповажних причин відпрацьовуються за розкладом черговому викладачу;</w:t>
      </w:r>
    </w:p>
    <w:p>
      <w:pPr>
        <w:pStyle w:val="Standard"/>
        <w:widowControl w:val="false"/>
        <w:numPr>
          <w:ilvl w:val="0"/>
          <w:numId w:val="17"/>
        </w:numPr>
        <w:tabs>
          <w:tab w:val="clear" w:pos="708"/>
          <w:tab w:val="left" w:pos="-6196" w:leader="none"/>
          <w:tab w:val="left" w:pos="-5346" w:leader="none"/>
          <w:tab w:val="left" w:pos="-926" w:leader="none"/>
        </w:tabs>
        <w:spacing w:lineRule="auto" w:line="240" w:before="0" w:after="0"/>
        <w:jc w:val="both"/>
        <w:rPr>
          <w:sz w:val="24"/>
          <w:szCs w:val="24"/>
          <w:lang w:val="uk-UA"/>
        </w:rPr>
      </w:pPr>
      <w:r>
        <w:rPr>
          <w:sz w:val="24"/>
          <w:szCs w:val="24"/>
          <w:lang w:val="uk-UA"/>
        </w:rPr>
        <w:t>пропуски з поважних причин відпрацьовуються за індивідуальним графіком з дозволу деканату.</w:t>
      </w:r>
    </w:p>
    <w:p>
      <w:pPr>
        <w:pStyle w:val="Standard"/>
        <w:numPr>
          <w:ilvl w:val="0"/>
          <w:numId w:val="54"/>
        </w:numPr>
        <w:tabs>
          <w:tab w:val="clear" w:pos="708"/>
          <w:tab w:val="left" w:pos="0" w:leader="none"/>
          <w:tab w:val="left" w:pos="142" w:leader="none"/>
        </w:tabs>
        <w:spacing w:lineRule="auto" w:line="240" w:before="0" w:after="0"/>
        <w:ind w:left="0" w:firstLine="709"/>
        <w:jc w:val="both"/>
        <w:rPr>
          <w:rFonts w:ascii="Times New Roman" w:hAnsi="Times New Roman"/>
          <w:sz w:val="24"/>
          <w:szCs w:val="24"/>
          <w:lang w:val="uk-UA"/>
        </w:rPr>
      </w:pPr>
      <w:r>
        <w:rPr>
          <w:sz w:val="24"/>
          <w:szCs w:val="24"/>
          <w:lang w:val="uk-UA"/>
        </w:rPr>
      </w:r>
    </w:p>
    <w:p>
      <w:pPr>
        <w:pStyle w:val="Standard"/>
        <w:numPr>
          <w:ilvl w:val="0"/>
          <w:numId w:val="55"/>
        </w:numPr>
        <w:tabs>
          <w:tab w:val="clear" w:pos="708"/>
          <w:tab w:val="left" w:pos="0" w:leader="none"/>
          <w:tab w:val="left" w:pos="142" w:leader="none"/>
        </w:tabs>
        <w:spacing w:lineRule="auto" w:line="240" w:before="0" w:after="0"/>
        <w:ind w:left="0" w:firstLine="709"/>
        <w:jc w:val="both"/>
        <w:rPr>
          <w:sz w:val="24"/>
          <w:szCs w:val="24"/>
          <w:lang w:val="uk-UA"/>
        </w:rPr>
      </w:pPr>
      <w:r>
        <w:rPr>
          <w:i/>
          <w:sz w:val="24"/>
          <w:szCs w:val="24"/>
          <w:lang w:val="uk-UA"/>
        </w:rPr>
        <w:t>Політика щодо академічної доброчесності:</w:t>
      </w:r>
    </w:p>
    <w:p>
      <w:pPr>
        <w:pStyle w:val="Standard"/>
        <w:numPr>
          <w:ilvl w:val="0"/>
          <w:numId w:val="56"/>
        </w:numPr>
        <w:tabs>
          <w:tab w:val="clear" w:pos="708"/>
          <w:tab w:val="left" w:pos="0" w:leader="none"/>
          <w:tab w:val="left" w:pos="142" w:leader="none"/>
        </w:tabs>
        <w:spacing w:lineRule="auto" w:line="240" w:before="0" w:after="0"/>
        <w:ind w:left="0" w:firstLine="709"/>
        <w:jc w:val="both"/>
        <w:rPr>
          <w:sz w:val="24"/>
          <w:szCs w:val="24"/>
          <w:lang w:val="uk-UA"/>
        </w:rPr>
      </w:pPr>
      <w:r>
        <w:rPr>
          <w:sz w:val="24"/>
          <w:szCs w:val="24"/>
          <w:lang w:val="uk-UA"/>
        </w:rPr>
        <w:t>Обов'язковим є дотримання академічної доброчесності здобувачами, а саме:</w:t>
      </w:r>
    </w:p>
    <w:p>
      <w:pPr>
        <w:pStyle w:val="Standard"/>
        <w:numPr>
          <w:ilvl w:val="0"/>
          <w:numId w:val="19"/>
        </w:numPr>
        <w:tabs>
          <w:tab w:val="clear" w:pos="708"/>
          <w:tab w:val="left" w:pos="-6480" w:leader="none"/>
          <w:tab w:val="left" w:pos="-6338" w:leader="none"/>
        </w:tabs>
        <w:spacing w:lineRule="auto" w:line="240" w:before="0" w:after="0"/>
        <w:jc w:val="both"/>
        <w:rPr>
          <w:sz w:val="24"/>
          <w:szCs w:val="24"/>
          <w:lang w:val="uk-UA"/>
        </w:rPr>
      </w:pPr>
      <w:r>
        <w:rPr>
          <w:sz w:val="24"/>
          <w:szCs w:val="24"/>
          <w:lang w:val="uk-UA"/>
        </w:rPr>
        <w:t>самостійне виконання всіх видів робіт, завдань, форм контролю, передбачених робочою програмою даної навчальної дисципліни;</w:t>
      </w:r>
    </w:p>
    <w:p>
      <w:pPr>
        <w:pStyle w:val="Standard"/>
        <w:numPr>
          <w:ilvl w:val="0"/>
          <w:numId w:val="19"/>
        </w:numPr>
        <w:tabs>
          <w:tab w:val="clear" w:pos="708"/>
          <w:tab w:val="left" w:pos="-6480" w:leader="none"/>
          <w:tab w:val="left" w:pos="-6338" w:leader="none"/>
        </w:tabs>
        <w:spacing w:lineRule="auto" w:line="240" w:before="0" w:after="0"/>
        <w:jc w:val="both"/>
        <w:rPr>
          <w:sz w:val="24"/>
          <w:szCs w:val="24"/>
          <w:lang w:val="uk-UA"/>
        </w:rPr>
      </w:pPr>
      <w:r>
        <w:rPr>
          <w:sz w:val="24"/>
          <w:szCs w:val="24"/>
          <w:lang w:val="uk-UA"/>
        </w:rPr>
        <w:t>посилання на джерела інформації у разі використання ідей, розробок, тверджень, відомостей;</w:t>
      </w:r>
    </w:p>
    <w:p>
      <w:pPr>
        <w:pStyle w:val="Standard"/>
        <w:numPr>
          <w:ilvl w:val="0"/>
          <w:numId w:val="19"/>
        </w:numPr>
        <w:tabs>
          <w:tab w:val="clear" w:pos="708"/>
          <w:tab w:val="left" w:pos="-6480" w:leader="none"/>
          <w:tab w:val="left" w:pos="-6338" w:leader="none"/>
        </w:tabs>
        <w:spacing w:lineRule="auto" w:line="240" w:before="0" w:after="0"/>
        <w:jc w:val="both"/>
        <w:rPr>
          <w:sz w:val="24"/>
          <w:szCs w:val="24"/>
          <w:lang w:val="uk-UA"/>
        </w:rPr>
      </w:pPr>
      <w:r>
        <w:rPr>
          <w:sz w:val="24"/>
          <w:szCs w:val="24"/>
          <w:lang w:val="uk-UA"/>
        </w:rPr>
        <w:t>дотримання норм законодавства про авторське право i суміжні права;</w:t>
      </w:r>
    </w:p>
    <w:p>
      <w:pPr>
        <w:pStyle w:val="Standard"/>
        <w:numPr>
          <w:ilvl w:val="0"/>
          <w:numId w:val="19"/>
        </w:numPr>
        <w:tabs>
          <w:tab w:val="clear" w:pos="708"/>
          <w:tab w:val="left" w:pos="-6480" w:leader="none"/>
          <w:tab w:val="left" w:pos="-6338" w:leader="none"/>
        </w:tabs>
        <w:spacing w:lineRule="auto" w:line="240" w:before="0" w:after="0"/>
        <w:jc w:val="both"/>
        <w:rPr>
          <w:sz w:val="24"/>
          <w:szCs w:val="24"/>
          <w:lang w:val="uk-UA"/>
        </w:rPr>
      </w:pPr>
      <w:r>
        <w:rPr>
          <w:sz w:val="24"/>
          <w:szCs w:val="24"/>
          <w:lang w:val="uk-UA"/>
        </w:rPr>
        <w:t>надання достовірної інформації про результати власної навчальної (наукової) діяльності, використані методики досліджень і джерела інформації.</w:t>
      </w:r>
    </w:p>
    <w:p>
      <w:pPr>
        <w:pStyle w:val="Standard"/>
        <w:tabs>
          <w:tab w:val="clear" w:pos="708"/>
          <w:tab w:val="left" w:pos="737" w:leader="none"/>
          <w:tab w:val="left" w:pos="879" w:leader="none"/>
        </w:tabs>
        <w:spacing w:lineRule="auto" w:line="240" w:before="0" w:after="0"/>
        <w:ind w:left="737" w:hanging="0"/>
        <w:jc w:val="both"/>
        <w:rPr>
          <w:rFonts w:ascii="Times New Roman" w:hAnsi="Times New Roman"/>
          <w:sz w:val="24"/>
          <w:szCs w:val="24"/>
          <w:lang w:val="uk-UA"/>
        </w:rPr>
      </w:pPr>
      <w:r>
        <w:rPr>
          <w:sz w:val="24"/>
          <w:szCs w:val="24"/>
          <w:lang w:val="uk-UA"/>
        </w:rPr>
      </w:r>
    </w:p>
    <w:p>
      <w:pPr>
        <w:pStyle w:val="Standard"/>
        <w:tabs>
          <w:tab w:val="clear" w:pos="708"/>
          <w:tab w:val="left" w:pos="737" w:leader="none"/>
          <w:tab w:val="left" w:pos="879" w:leader="none"/>
        </w:tabs>
        <w:spacing w:lineRule="auto" w:line="240" w:before="0" w:after="0"/>
        <w:ind w:left="737" w:hanging="0"/>
        <w:jc w:val="both"/>
        <w:rPr>
          <w:sz w:val="24"/>
          <w:szCs w:val="24"/>
          <w:lang w:val="uk-UA"/>
        </w:rPr>
      </w:pPr>
      <w:r>
        <w:rPr>
          <w:sz w:val="24"/>
          <w:szCs w:val="24"/>
          <w:lang w:val="uk-UA"/>
        </w:rPr>
        <w:t>Неприйнятними у навчальній діяльності для учасників освітнього процесу є:</w:t>
      </w:r>
    </w:p>
    <w:p>
      <w:pPr>
        <w:pStyle w:val="Standard"/>
        <w:numPr>
          <w:ilvl w:val="0"/>
          <w:numId w:val="20"/>
        </w:numPr>
        <w:tabs>
          <w:tab w:val="clear" w:pos="708"/>
          <w:tab w:val="left" w:pos="-6480" w:leader="none"/>
          <w:tab w:val="left" w:pos="-6338" w:leader="none"/>
        </w:tabs>
        <w:spacing w:lineRule="auto" w:line="240" w:before="0" w:after="0"/>
        <w:jc w:val="both"/>
        <w:rPr>
          <w:sz w:val="24"/>
          <w:szCs w:val="24"/>
          <w:lang w:val="uk-UA"/>
        </w:rPr>
      </w:pPr>
      <w:r>
        <w:rPr>
          <w:sz w:val="24"/>
          <w:szCs w:val="24"/>
          <w:lang w:val="uk-UA"/>
        </w:rPr>
        <w:t>використання родинних або службових зв’язків для отримання позитивної або вищої оцінки під час здійснення будь-якої форми контролю результатів навчання або переваг у науковій роботі;</w:t>
      </w:r>
    </w:p>
    <w:p>
      <w:pPr>
        <w:pStyle w:val="Standard"/>
        <w:numPr>
          <w:ilvl w:val="0"/>
          <w:numId w:val="20"/>
        </w:numPr>
        <w:tabs>
          <w:tab w:val="clear" w:pos="708"/>
          <w:tab w:val="left" w:pos="-6480" w:leader="none"/>
          <w:tab w:val="left" w:pos="-6338" w:leader="none"/>
        </w:tabs>
        <w:spacing w:lineRule="auto" w:line="240" w:before="0" w:after="0"/>
        <w:jc w:val="both"/>
        <w:rPr>
          <w:sz w:val="24"/>
          <w:szCs w:val="24"/>
          <w:lang w:val="uk-UA"/>
        </w:rPr>
      </w:pPr>
      <w:r>
        <w:rPr>
          <w:sz w:val="24"/>
          <w:szCs w:val="24"/>
          <w:lang w:val="uk-UA"/>
        </w:rPr>
        <w:t>використання під час контрольних заходів заборонених допоміжних матеріалів або технічних засобів (шпаргалок, конспектів, мікро-навушників, телефонів, смартфонів, планшетів тощо);</w:t>
      </w:r>
    </w:p>
    <w:p>
      <w:pPr>
        <w:pStyle w:val="Standard"/>
        <w:numPr>
          <w:ilvl w:val="0"/>
          <w:numId w:val="20"/>
        </w:numPr>
        <w:tabs>
          <w:tab w:val="clear" w:pos="708"/>
          <w:tab w:val="left" w:pos="-6480" w:leader="none"/>
          <w:tab w:val="left" w:pos="-6338" w:leader="none"/>
        </w:tabs>
        <w:spacing w:lineRule="auto" w:line="240" w:before="0" w:after="0"/>
        <w:jc w:val="both"/>
        <w:rPr>
          <w:sz w:val="24"/>
          <w:szCs w:val="24"/>
          <w:lang w:val="uk-UA"/>
        </w:rPr>
      </w:pPr>
      <w:r>
        <w:rPr>
          <w:sz w:val="24"/>
          <w:szCs w:val="24"/>
          <w:lang w:val="uk-UA"/>
        </w:rPr>
        <w:t>проходження процедур контролю результатів навчання підставними особами.</w:t>
      </w:r>
    </w:p>
    <w:p>
      <w:pPr>
        <w:pStyle w:val="Standard"/>
        <w:tabs>
          <w:tab w:val="clear" w:pos="708"/>
          <w:tab w:val="left" w:pos="737" w:leader="none"/>
          <w:tab w:val="left" w:pos="879" w:leader="none"/>
        </w:tabs>
        <w:spacing w:lineRule="auto" w:line="240" w:before="0" w:after="0"/>
        <w:ind w:left="737" w:hanging="0"/>
        <w:jc w:val="both"/>
        <w:rPr>
          <w:rFonts w:ascii="Times New Roman" w:hAnsi="Times New Roman"/>
          <w:sz w:val="24"/>
          <w:szCs w:val="24"/>
          <w:lang w:val="uk-UA"/>
        </w:rPr>
      </w:pPr>
      <w:r>
        <w:rPr>
          <w:sz w:val="24"/>
          <w:szCs w:val="24"/>
          <w:lang w:val="uk-UA"/>
        </w:rPr>
      </w:r>
    </w:p>
    <w:p>
      <w:pPr>
        <w:pStyle w:val="Standard"/>
        <w:tabs>
          <w:tab w:val="clear" w:pos="708"/>
          <w:tab w:val="left" w:pos="737" w:leader="none"/>
          <w:tab w:val="left" w:pos="879" w:leader="none"/>
        </w:tabs>
        <w:spacing w:lineRule="auto" w:line="240" w:before="0" w:after="0"/>
        <w:ind w:left="737" w:hanging="0"/>
        <w:jc w:val="both"/>
        <w:rPr>
          <w:sz w:val="24"/>
          <w:szCs w:val="24"/>
          <w:lang w:val="uk-UA"/>
        </w:rPr>
      </w:pPr>
      <w:r>
        <w:rPr>
          <w:sz w:val="24"/>
          <w:szCs w:val="24"/>
          <w:lang w:val="uk-UA"/>
        </w:rPr>
        <w:t>За порушення академічної доброчесності здобувачі вищої освіти можуть бути притягнені до такої академічної відповідальності:</w:t>
      </w:r>
    </w:p>
    <w:p>
      <w:pPr>
        <w:pStyle w:val="Standard"/>
        <w:numPr>
          <w:ilvl w:val="0"/>
          <w:numId w:val="21"/>
        </w:numPr>
        <w:tabs>
          <w:tab w:val="clear" w:pos="708"/>
          <w:tab w:val="left" w:pos="-6480" w:leader="none"/>
          <w:tab w:val="left" w:pos="-6338" w:leader="none"/>
        </w:tabs>
        <w:spacing w:lineRule="auto" w:line="240" w:before="0" w:after="0"/>
        <w:jc w:val="both"/>
        <w:rPr>
          <w:sz w:val="24"/>
          <w:szCs w:val="24"/>
          <w:lang w:val="uk-UA"/>
        </w:rPr>
      </w:pPr>
      <w:r>
        <w:rPr>
          <w:sz w:val="24"/>
          <w:szCs w:val="24"/>
          <w:lang w:val="uk-UA"/>
        </w:rPr>
        <w:t>зниження результатів оцінювання індивідуального опитування, виконання тестових завдань, оцінки за розв’язання ситуаційних завдань, виконання індивідуального завдання, заліку тощо;</w:t>
      </w:r>
    </w:p>
    <w:p>
      <w:pPr>
        <w:pStyle w:val="Standard"/>
        <w:numPr>
          <w:ilvl w:val="0"/>
          <w:numId w:val="21"/>
        </w:numPr>
        <w:tabs>
          <w:tab w:val="clear" w:pos="708"/>
          <w:tab w:val="left" w:pos="-6480" w:leader="none"/>
          <w:tab w:val="left" w:pos="-6338" w:leader="none"/>
        </w:tabs>
        <w:spacing w:lineRule="auto" w:line="240" w:before="0" w:after="0"/>
        <w:jc w:val="both"/>
        <w:rPr>
          <w:sz w:val="24"/>
          <w:szCs w:val="24"/>
          <w:lang w:val="uk-UA"/>
        </w:rPr>
      </w:pPr>
      <w:r>
        <w:rPr>
          <w:sz w:val="24"/>
          <w:szCs w:val="24"/>
          <w:lang w:val="uk-UA"/>
        </w:rPr>
        <w:t>повторне проходження оцінювання (тестових завдань, ситуаційних завдань, індивідуального завдання, заліку тощо);</w:t>
      </w:r>
    </w:p>
    <w:p>
      <w:pPr>
        <w:pStyle w:val="Standard"/>
        <w:numPr>
          <w:ilvl w:val="0"/>
          <w:numId w:val="21"/>
        </w:numPr>
        <w:tabs>
          <w:tab w:val="clear" w:pos="708"/>
          <w:tab w:val="left" w:pos="-6480" w:leader="none"/>
          <w:tab w:val="left" w:pos="-6338" w:leader="none"/>
        </w:tabs>
        <w:spacing w:lineRule="auto" w:line="240" w:before="0" w:after="0"/>
        <w:jc w:val="both"/>
        <w:rPr>
          <w:sz w:val="24"/>
          <w:szCs w:val="24"/>
          <w:lang w:val="uk-UA"/>
        </w:rPr>
      </w:pPr>
      <w:r>
        <w:rPr>
          <w:sz w:val="24"/>
          <w:szCs w:val="24"/>
          <w:lang w:val="uk-UA"/>
        </w:rPr>
        <w:t>призначення додаткових контрольних заходів (додаткові ситуаційні завдання, індивідуальні завдання, тести тощо);</w:t>
      </w:r>
    </w:p>
    <w:p>
      <w:pPr>
        <w:pStyle w:val="Standard"/>
        <w:numPr>
          <w:ilvl w:val="0"/>
          <w:numId w:val="21"/>
        </w:numPr>
        <w:tabs>
          <w:tab w:val="clear" w:pos="708"/>
          <w:tab w:val="left" w:pos="-6480" w:leader="none"/>
          <w:tab w:val="left" w:pos="-6338" w:leader="none"/>
        </w:tabs>
        <w:spacing w:lineRule="auto" w:line="240" w:before="0" w:after="0"/>
        <w:jc w:val="both"/>
        <w:rPr>
          <w:sz w:val="24"/>
          <w:szCs w:val="24"/>
          <w:lang w:val="uk-UA"/>
        </w:rPr>
      </w:pPr>
      <w:r>
        <w:rPr>
          <w:sz w:val="24"/>
          <w:szCs w:val="24"/>
          <w:lang w:val="uk-UA"/>
        </w:rPr>
        <w:t>проведення додаткової перевірки інших робіт авторства порушника.</w:t>
      </w:r>
    </w:p>
    <w:p>
      <w:pPr>
        <w:pStyle w:val="Standard"/>
        <w:widowControl w:val="false"/>
        <w:tabs>
          <w:tab w:val="clear" w:pos="708"/>
          <w:tab w:val="left" w:pos="0" w:leader="none"/>
          <w:tab w:val="left" w:pos="426" w:leader="none"/>
          <w:tab w:val="left" w:pos="5554" w:leader="none"/>
        </w:tabs>
        <w:spacing w:lineRule="auto" w:line="240" w:before="0" w:after="0"/>
        <w:ind w:firstLine="709"/>
        <w:jc w:val="both"/>
        <w:rPr>
          <w:rFonts w:ascii="Times New Roman" w:hAnsi="Times New Roman"/>
          <w:bCs/>
          <w:i/>
          <w:i/>
          <w:sz w:val="24"/>
          <w:szCs w:val="24"/>
          <w:lang w:val="uk-UA"/>
        </w:rPr>
      </w:pPr>
      <w:r>
        <w:rPr>
          <w:bCs/>
          <w:i/>
          <w:sz w:val="24"/>
          <w:szCs w:val="24"/>
          <w:lang w:val="uk-UA"/>
        </w:rPr>
      </w:r>
    </w:p>
    <w:p>
      <w:pPr>
        <w:pStyle w:val="Standard"/>
        <w:widowControl w:val="false"/>
        <w:tabs>
          <w:tab w:val="clear" w:pos="708"/>
          <w:tab w:val="left" w:pos="0" w:leader="none"/>
          <w:tab w:val="left" w:pos="426" w:leader="none"/>
          <w:tab w:val="left" w:pos="5554" w:leader="none"/>
        </w:tabs>
        <w:spacing w:lineRule="auto" w:line="240" w:before="0" w:after="0"/>
        <w:ind w:firstLine="709"/>
        <w:jc w:val="both"/>
        <w:rPr>
          <w:sz w:val="24"/>
          <w:szCs w:val="24"/>
          <w:lang w:val="uk-UA"/>
        </w:rPr>
      </w:pPr>
      <w:r>
        <w:rPr>
          <w:bCs/>
          <w:i/>
          <w:sz w:val="24"/>
          <w:szCs w:val="24"/>
          <w:lang w:val="uk-UA"/>
        </w:rPr>
        <w:t>Політика щодо відвідування та запізнень:</w:t>
      </w:r>
    </w:p>
    <w:p>
      <w:pPr>
        <w:pStyle w:val="Standard"/>
        <w:widowControl w:val="false"/>
        <w:tabs>
          <w:tab w:val="clear" w:pos="708"/>
          <w:tab w:val="left" w:pos="0" w:leader="none"/>
          <w:tab w:val="left" w:pos="426" w:leader="none"/>
          <w:tab w:val="left" w:pos="5554" w:leader="none"/>
        </w:tabs>
        <w:spacing w:lineRule="auto" w:line="240" w:before="0" w:after="0"/>
        <w:ind w:firstLine="709"/>
        <w:jc w:val="both"/>
        <w:rPr>
          <w:sz w:val="24"/>
          <w:szCs w:val="24"/>
          <w:lang w:val="uk-UA"/>
        </w:rPr>
      </w:pPr>
      <w:r>
        <w:rPr>
          <w:sz w:val="24"/>
          <w:szCs w:val="24"/>
          <w:lang w:val="uk-UA"/>
        </w:rPr>
        <w:t>Стан здоров’я: здобувачі хворі на гострі інфекційні захворювання, у тому числі на респіраторні хвороби, до заняття не допускаються.</w:t>
      </w:r>
    </w:p>
    <w:p>
      <w:pPr>
        <w:pStyle w:val="Standard"/>
        <w:widowControl w:val="false"/>
        <w:tabs>
          <w:tab w:val="clear" w:pos="708"/>
          <w:tab w:val="left" w:pos="0" w:leader="none"/>
          <w:tab w:val="left" w:pos="426" w:leader="none"/>
          <w:tab w:val="left" w:pos="5554" w:leader="none"/>
        </w:tabs>
        <w:spacing w:lineRule="auto" w:line="240" w:before="0" w:after="0"/>
        <w:ind w:firstLine="709"/>
        <w:jc w:val="both"/>
        <w:rPr>
          <w:sz w:val="24"/>
          <w:szCs w:val="24"/>
          <w:lang w:val="uk-UA"/>
        </w:rPr>
      </w:pPr>
      <w:r>
        <w:rPr>
          <w:sz w:val="24"/>
          <w:szCs w:val="24"/>
          <w:lang w:val="uk-UA"/>
        </w:rPr>
        <w:t>Запізнення на заняття — не припустимі. Здобувач, який спізнився на заняття, може бути на ньому присутній, але якщо в журналі викладач поставив «нб», він повинен його відпрацювати у загальному порядку.</w:t>
      </w:r>
    </w:p>
    <w:p>
      <w:pPr>
        <w:pStyle w:val="Default"/>
        <w:widowControl w:val="false"/>
        <w:tabs>
          <w:tab w:val="clear" w:pos="708"/>
          <w:tab w:val="left" w:pos="0" w:leader="none"/>
        </w:tabs>
        <w:ind w:firstLine="709"/>
        <w:jc w:val="both"/>
        <w:rPr>
          <w:bCs/>
          <w:i/>
          <w:i/>
          <w:color w:val="auto"/>
          <w:sz w:val="24"/>
          <w:szCs w:val="24"/>
          <w:lang w:val="uk-UA"/>
        </w:rPr>
      </w:pPr>
      <w:r>
        <w:rPr>
          <w:bCs/>
          <w:i/>
          <w:color w:val="auto"/>
          <w:sz w:val="24"/>
          <w:szCs w:val="24"/>
          <w:lang w:val="uk-UA"/>
        </w:rPr>
      </w:r>
    </w:p>
    <w:p>
      <w:pPr>
        <w:pStyle w:val="Default"/>
        <w:widowControl w:val="false"/>
        <w:tabs>
          <w:tab w:val="clear" w:pos="708"/>
          <w:tab w:val="left" w:pos="0" w:leader="none"/>
        </w:tabs>
        <w:ind w:firstLine="709"/>
        <w:jc w:val="both"/>
        <w:rPr>
          <w:sz w:val="24"/>
          <w:szCs w:val="24"/>
          <w:lang w:val="uk-UA"/>
        </w:rPr>
      </w:pPr>
      <w:r>
        <w:rPr>
          <w:bCs/>
          <w:i/>
          <w:color w:val="auto"/>
          <w:sz w:val="24"/>
          <w:szCs w:val="24"/>
          <w:lang w:val="uk-UA"/>
        </w:rPr>
        <w:t>Використання мобільних пристроїв</w:t>
      </w:r>
      <w:r>
        <w:rPr>
          <w:bCs/>
          <w:color w:val="auto"/>
          <w:sz w:val="24"/>
          <w:szCs w:val="24"/>
          <w:lang w:val="uk-UA"/>
        </w:rPr>
        <w:t>:</w:t>
      </w:r>
    </w:p>
    <w:p>
      <w:pPr>
        <w:pStyle w:val="Default"/>
        <w:widowControl w:val="false"/>
        <w:tabs>
          <w:tab w:val="clear" w:pos="708"/>
          <w:tab w:val="left" w:pos="0" w:leader="none"/>
        </w:tabs>
        <w:ind w:firstLine="709"/>
        <w:jc w:val="both"/>
        <w:rPr>
          <w:sz w:val="24"/>
          <w:szCs w:val="24"/>
          <w:lang w:val="uk-UA"/>
        </w:rPr>
      </w:pPr>
      <w:r>
        <w:rPr>
          <w:bCs/>
          <w:color w:val="auto"/>
          <w:sz w:val="24"/>
          <w:szCs w:val="24"/>
          <w:lang w:val="uk-UA"/>
        </w:rPr>
        <w:t>Використання будь-яких мобільних пристроїв заборонено. При порушенні даного пункту здобувач має покинути заняття та в журналі викладач ставить «нб», який він повинен відпрацювати у загальному порядку. Мобільні пристрої можуть бути застосовані здобувачами з дозволу викладача, якщо вони потрібні для виконання завдання.</w:t>
      </w:r>
    </w:p>
    <w:p>
      <w:pPr>
        <w:pStyle w:val="Default"/>
        <w:widowControl w:val="false"/>
        <w:tabs>
          <w:tab w:val="clear" w:pos="708"/>
          <w:tab w:val="left" w:pos="0" w:leader="none"/>
        </w:tabs>
        <w:ind w:firstLine="709"/>
        <w:jc w:val="both"/>
        <w:rPr>
          <w:bCs/>
          <w:i/>
          <w:i/>
          <w:color w:val="auto"/>
          <w:sz w:val="24"/>
          <w:szCs w:val="24"/>
          <w:lang w:val="uk-UA"/>
        </w:rPr>
      </w:pPr>
      <w:r>
        <w:rPr>
          <w:bCs/>
          <w:i/>
          <w:color w:val="auto"/>
          <w:sz w:val="24"/>
          <w:szCs w:val="24"/>
          <w:lang w:val="uk-UA"/>
        </w:rPr>
      </w:r>
    </w:p>
    <w:p>
      <w:pPr>
        <w:pStyle w:val="Default"/>
        <w:widowControl w:val="false"/>
        <w:tabs>
          <w:tab w:val="clear" w:pos="708"/>
          <w:tab w:val="left" w:pos="0" w:leader="none"/>
        </w:tabs>
        <w:ind w:firstLine="709"/>
        <w:jc w:val="both"/>
        <w:rPr>
          <w:sz w:val="24"/>
          <w:szCs w:val="24"/>
          <w:lang w:val="uk-UA"/>
        </w:rPr>
      </w:pPr>
      <w:r>
        <w:rPr>
          <w:bCs/>
          <w:i/>
          <w:color w:val="auto"/>
          <w:sz w:val="24"/>
          <w:szCs w:val="24"/>
          <w:lang w:val="uk-UA"/>
        </w:rPr>
        <w:t>Поведінка в аудиторії:</w:t>
      </w:r>
    </w:p>
    <w:p>
      <w:pPr>
        <w:pStyle w:val="Standard"/>
        <w:widowControl w:val="false"/>
        <w:numPr>
          <w:ilvl w:val="0"/>
          <w:numId w:val="57"/>
        </w:numPr>
        <w:tabs>
          <w:tab w:val="clear" w:pos="708"/>
          <w:tab w:val="left" w:pos="284" w:leader="none"/>
          <w:tab w:val="left" w:pos="1134" w:leader="none"/>
          <w:tab w:val="left" w:pos="5554" w:leader="none"/>
        </w:tabs>
        <w:spacing w:lineRule="auto" w:line="240" w:before="0" w:after="0"/>
        <w:ind w:left="0" w:firstLine="709"/>
        <w:jc w:val="both"/>
        <w:rPr>
          <w:sz w:val="24"/>
          <w:szCs w:val="24"/>
          <w:lang w:val="uk-UA"/>
        </w:rPr>
      </w:pPr>
      <w:r>
        <w:rPr>
          <w:sz w:val="24"/>
          <w:szCs w:val="24"/>
          <w:lang w:val="uk-UA"/>
        </w:rPr>
        <w:t>Поведінка здобувачів та викладачів в аудиторіях має бути робочою та спокійною, суворо відповідати правилам, встановленим Положенням про академічну доброчесність та етику академічних взаємин в Одеському національному медичному університеті, у відповідності до Кодексу академічної етики та взаємин університетської спільноти Одеського національного медичного університету, Положенням про запобігання та виявлення академічного плагіату у науково-дослідній та освітній роботі здобувачів вищої освіти, науковців та викладачів Одеського національного медичного університету.</w:t>
      </w:r>
    </w:p>
    <w:p>
      <w:pPr>
        <w:pStyle w:val="Standard"/>
        <w:widowControl w:val="false"/>
        <w:numPr>
          <w:ilvl w:val="0"/>
          <w:numId w:val="58"/>
        </w:numPr>
        <w:tabs>
          <w:tab w:val="clear" w:pos="708"/>
          <w:tab w:val="left" w:pos="284" w:leader="none"/>
          <w:tab w:val="left" w:pos="1134" w:leader="none"/>
          <w:tab w:val="left" w:pos="5554" w:leader="none"/>
        </w:tabs>
        <w:spacing w:lineRule="auto" w:line="240" w:before="0" w:after="0"/>
        <w:ind w:left="0" w:firstLine="709"/>
        <w:jc w:val="both"/>
        <w:rPr>
          <w:sz w:val="24"/>
          <w:szCs w:val="24"/>
          <w:lang w:val="uk-UA"/>
        </w:rPr>
      </w:pPr>
      <w:r>
        <w:rPr>
          <w:sz w:val="24"/>
          <w:szCs w:val="24"/>
          <w:lang w:val="uk-UA"/>
        </w:rPr>
      </w:r>
    </w:p>
    <w:sectPr>
      <w:headerReference w:type="default" r:id="rId16"/>
      <w:type w:val="nextPage"/>
      <w:pgSz w:w="11906" w:h="16838"/>
      <w:pgMar w:left="1418" w:right="851" w:header="709" w:top="1134" w:footer="0" w:bottom="708" w:gutter="0"/>
      <w:pgNumType w:fmt="decimal"/>
      <w:formProt w:val="false"/>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imes New Roman">
    <w:charset w:val="01"/>
    <w:family w:val="roman"/>
    <w:pitch w:val="default"/>
  </w:font>
  <w:font w:name="OpenSymbol">
    <w:altName w:val="Arial Unicode MS"/>
    <w:charset w:val="01"/>
    <w:family w:val="roman"/>
    <w:pitch w:val="default"/>
  </w:font>
  <w:font w:name="Arial">
    <w:charset w:val="01"/>
    <w:family w:val="roman"/>
    <w:pitch w:val="default"/>
  </w:font>
  <w:font w:name="Symbol">
    <w:charset w:val="02"/>
    <w:family w:val="auto"/>
    <w:pitch w:val="default"/>
  </w:font>
  <w:font w:name="Courier New">
    <w:charset w:val="01"/>
    <w:family w:val="auto"/>
    <w:pitch w:val="fixed"/>
  </w:font>
  <w:font w:name="Wingdings">
    <w:charset w:val="02"/>
    <w:family w:val="auto"/>
    <w:pitch w:val="default"/>
  </w:font>
  <w:font w:name="Symbol">
    <w:charset w:val="02"/>
    <w:family w:val="auto"/>
    <w:pitch w:val="variable"/>
  </w:font>
  <w:font w:name="OpenSymbol">
    <w:altName w:val="Arial Unicode MS"/>
    <w:charset w:val="01"/>
    <w:family w:val="auto"/>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andard"/>
      <w:spacing w:lineRule="auto" w:line="240" w:before="0" w:after="0"/>
      <w:jc w:val="center"/>
      <w:rPr>
        <w:lang w:val="uk-UA" w:eastAsia="ru-RU"/>
      </w:rPr>
    </w:pPr>
    <w:r>
      <w:rPr>
        <w:rFonts w:eastAsia="Times New Roman"/>
        <w:b/>
        <w:bCs/>
        <w:color w:val="365F91"/>
        <w:sz w:val="24"/>
        <w:szCs w:val="24"/>
        <w:lang w:val="uk-UA" w:eastAsia="ru-RU"/>
      </w:rPr>
      <w:t>МІНІСТЕРСТВО ОХОРОНИ ЗДОРОВ’Я УКРАЇНИ</w:t>
    </w:r>
  </w:p>
  <w:p>
    <w:pPr>
      <w:pStyle w:val="Standard"/>
      <w:spacing w:lineRule="auto" w:line="240" w:before="0" w:after="0"/>
      <w:jc w:val="center"/>
      <w:rPr>
        <w:lang w:val="uk-UA" w:eastAsia="ru-RU"/>
      </w:rPr>
    </w:pPr>
    <w:r>
      <w:rPr>
        <w:rFonts w:eastAsia="Times New Roman"/>
        <w:b/>
        <w:bCs/>
        <w:color w:val="365F91"/>
        <w:sz w:val="24"/>
        <w:szCs w:val="24"/>
        <w:lang w:val="uk-UA" w:eastAsia="ru-RU"/>
      </w:rPr>
      <w:t>ОДЕСЬКИЙ НАЦІОНАЛЬНИЙ МЕДИЧНИЙ УНІВЕРСИТЕТ</w:t>
    </w:r>
  </w:p>
  <w:p>
    <w:pPr>
      <w:pStyle w:val="Standard"/>
      <w:numPr>
        <w:ilvl w:val="0"/>
        <w:numId w:val="59"/>
      </w:numPr>
      <w:tabs>
        <w:tab w:val="clear" w:pos="708"/>
        <w:tab w:val="left" w:pos="-1154" w:leader="none"/>
      </w:tabs>
      <w:spacing w:lineRule="auto" w:line="240" w:before="0" w:after="0"/>
      <w:ind w:firstLine="709"/>
      <w:jc w:val="center"/>
      <w:rPr>
        <w:lang w:val="uk-UA" w:eastAsia="ru-RU"/>
      </w:rPr>
    </w:pPr>
    <w:r>
      <w:rPr>
        <w:rFonts w:eastAsia="Times New Roman"/>
        <w:bCs/>
        <w:color w:val="365F91"/>
        <w:sz w:val="24"/>
        <w:szCs w:val="24"/>
        <w:lang w:val="uk-UA" w:eastAsia="ru-RU"/>
      </w:rPr>
      <w:t>Кафедра симуляційних медичних технологій</w:t>
    </w:r>
  </w:p>
  <w:p>
    <w:pPr>
      <w:pStyle w:val="Style27"/>
      <w:jc w:val="center"/>
      <w:rPr>
        <w:rFonts w:ascii="Times New Roman" w:hAnsi="Times New Roman"/>
        <w:sz w:val="24"/>
        <w:szCs w:val="24"/>
      </w:rPr>
    </w:pPr>
    <w:r>
      <w:rPr>
        <w:sz w:val="24"/>
        <w:szCs w:val="24"/>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3">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4">
    <w:lvl w:ilvl="0">
      <w:start w:val="1"/>
      <w:numFmt w:val="decimal"/>
      <w:lvlText w:val="%1."/>
      <w:lvlJc w:val="left"/>
      <w:pPr>
        <w:tabs>
          <w:tab w:val="num" w:pos="0"/>
        </w:tabs>
        <w:ind w:left="720" w:hanging="360"/>
      </w:pPr>
      <w:rPr>
        <w:sz w:val="24"/>
        <w:szCs w:val="26"/>
        <w:rFonts w:eastAsia="Times New Roman" w:cs="Times New Roman"/>
      </w:rPr>
    </w:lvl>
    <w:lvl w:ilvl="1">
      <w:start w:val="1"/>
      <w:numFmt w:val="decimal"/>
      <w:lvlText w:val="%2."/>
      <w:lvlJc w:val="left"/>
      <w:pPr>
        <w:tabs>
          <w:tab w:val="num" w:pos="0"/>
        </w:tabs>
        <w:ind w:left="1080" w:hanging="360"/>
      </w:pPr>
      <w:rPr>
        <w:sz w:val="24"/>
        <w:szCs w:val="26"/>
        <w:rFonts w:eastAsia="Times New Roman" w:cs="Times New Roman"/>
      </w:rPr>
    </w:lvl>
    <w:lvl w:ilvl="2">
      <w:start w:val="1"/>
      <w:numFmt w:val="decimal"/>
      <w:lvlText w:val="%3."/>
      <w:lvlJc w:val="left"/>
      <w:pPr>
        <w:tabs>
          <w:tab w:val="num" w:pos="0"/>
        </w:tabs>
        <w:ind w:left="1440" w:hanging="360"/>
      </w:pPr>
      <w:rPr>
        <w:sz w:val="24"/>
        <w:szCs w:val="26"/>
        <w:rFonts w:eastAsia="Times New Roman" w:cs="Times New Roman"/>
      </w:rPr>
    </w:lvl>
    <w:lvl w:ilvl="3">
      <w:start w:val="1"/>
      <w:numFmt w:val="decimal"/>
      <w:lvlText w:val="%4."/>
      <w:lvlJc w:val="left"/>
      <w:pPr>
        <w:tabs>
          <w:tab w:val="num" w:pos="0"/>
        </w:tabs>
        <w:ind w:left="1800" w:hanging="360"/>
      </w:pPr>
      <w:rPr>
        <w:sz w:val="24"/>
        <w:szCs w:val="26"/>
        <w:rFonts w:eastAsia="Times New Roman" w:cs="Times New Roman"/>
      </w:rPr>
    </w:lvl>
    <w:lvl w:ilvl="4">
      <w:start w:val="1"/>
      <w:numFmt w:val="decimal"/>
      <w:lvlText w:val="%5."/>
      <w:lvlJc w:val="left"/>
      <w:pPr>
        <w:tabs>
          <w:tab w:val="num" w:pos="0"/>
        </w:tabs>
        <w:ind w:left="2160" w:hanging="360"/>
      </w:pPr>
      <w:rPr>
        <w:sz w:val="24"/>
        <w:szCs w:val="26"/>
        <w:rFonts w:eastAsia="Times New Roman" w:cs="Times New Roman"/>
      </w:rPr>
    </w:lvl>
    <w:lvl w:ilvl="5">
      <w:start w:val="1"/>
      <w:numFmt w:val="decimal"/>
      <w:lvlText w:val="%6."/>
      <w:lvlJc w:val="left"/>
      <w:pPr>
        <w:tabs>
          <w:tab w:val="num" w:pos="0"/>
        </w:tabs>
        <w:ind w:left="2520" w:hanging="360"/>
      </w:pPr>
      <w:rPr>
        <w:sz w:val="24"/>
        <w:szCs w:val="26"/>
        <w:rFonts w:eastAsia="Times New Roman" w:cs="Times New Roman"/>
      </w:rPr>
    </w:lvl>
    <w:lvl w:ilvl="6">
      <w:start w:val="1"/>
      <w:numFmt w:val="decimal"/>
      <w:lvlText w:val="%7."/>
      <w:lvlJc w:val="left"/>
      <w:pPr>
        <w:tabs>
          <w:tab w:val="num" w:pos="0"/>
        </w:tabs>
        <w:ind w:left="2880" w:hanging="360"/>
      </w:pPr>
      <w:rPr>
        <w:sz w:val="24"/>
        <w:szCs w:val="26"/>
        <w:rFonts w:eastAsia="Times New Roman" w:cs="Times New Roman"/>
      </w:rPr>
    </w:lvl>
    <w:lvl w:ilvl="7">
      <w:start w:val="1"/>
      <w:numFmt w:val="decimal"/>
      <w:lvlText w:val="%8."/>
      <w:lvlJc w:val="left"/>
      <w:pPr>
        <w:tabs>
          <w:tab w:val="num" w:pos="0"/>
        </w:tabs>
        <w:ind w:left="3240" w:hanging="360"/>
      </w:pPr>
      <w:rPr>
        <w:sz w:val="24"/>
        <w:szCs w:val="26"/>
        <w:rFonts w:eastAsia="Times New Roman" w:cs="Times New Roman"/>
      </w:rPr>
    </w:lvl>
    <w:lvl w:ilvl="8">
      <w:start w:val="1"/>
      <w:numFmt w:val="decimal"/>
      <w:lvlText w:val="%9."/>
      <w:lvlJc w:val="left"/>
      <w:pPr>
        <w:tabs>
          <w:tab w:val="num" w:pos="0"/>
        </w:tabs>
        <w:ind w:left="3600" w:hanging="360"/>
      </w:pPr>
      <w:rPr>
        <w:sz w:val="24"/>
        <w:szCs w:val="26"/>
        <w:rFonts w:eastAsia="Times New Roman" w:cs="Times New Roman"/>
      </w:rPr>
    </w:lvl>
  </w:abstractNum>
  <w:abstractNum w:abstractNumId="5">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6">
    <w:lvl w:ilvl="0">
      <w:numFmt w:val="bullet"/>
      <w:lvlText w:val=""/>
      <w:lvlJc w:val="left"/>
      <w:pPr>
        <w:tabs>
          <w:tab w:val="num" w:pos="0"/>
        </w:tabs>
        <w:ind w:left="720" w:hanging="360"/>
      </w:pPr>
      <w:rPr>
        <w:rFonts w:ascii="Symbol" w:hAnsi="Symbol" w:cs="Symbol" w:hint="default"/>
      </w:rPr>
    </w:lvl>
    <w:lvl w:ilvl="1">
      <w:start w:val="0"/>
      <w:numFmt w:val="bullet"/>
      <w:lvlText w:val="o"/>
      <w:lvlJc w:val="left"/>
      <w:pPr>
        <w:tabs>
          <w:tab w:val="num" w:pos="0"/>
        </w:tabs>
        <w:ind w:left="1440" w:hanging="360"/>
      </w:pPr>
      <w:rPr>
        <w:rFonts w:ascii="Courier New" w:hAnsi="Courier New" w:cs="Courier New"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Courier New" w:hAnsi="Courier New" w:cs="Courier New"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Courier New" w:hAnsi="Courier New" w:cs="Courier New"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7">
    <w:lvl w:ilvl="0">
      <w:start w:val="1"/>
      <w:numFmt w:val="decimal"/>
      <w:lvlText w:val="%1."/>
      <w:lvlJc w:val="left"/>
      <w:pPr>
        <w:tabs>
          <w:tab w:val="num" w:pos="0"/>
        </w:tabs>
        <w:ind w:left="1003" w:hanging="360"/>
      </w:pPr>
      <w:rPr>
        <w:sz w:val="24"/>
        <w:szCs w:val="26"/>
      </w:rPr>
    </w:lvl>
    <w:lvl w:ilvl="1">
      <w:start w:val="1"/>
      <w:numFmt w:val="decimal"/>
      <w:lvlText w:val="%2."/>
      <w:lvlJc w:val="left"/>
      <w:pPr>
        <w:tabs>
          <w:tab w:val="num" w:pos="0"/>
        </w:tabs>
        <w:ind w:left="1363" w:hanging="360"/>
      </w:pPr>
      <w:rPr>
        <w:sz w:val="24"/>
        <w:szCs w:val="26"/>
      </w:rPr>
    </w:lvl>
    <w:lvl w:ilvl="2">
      <w:start w:val="1"/>
      <w:numFmt w:val="decimal"/>
      <w:lvlText w:val="%3."/>
      <w:lvlJc w:val="left"/>
      <w:pPr>
        <w:tabs>
          <w:tab w:val="num" w:pos="0"/>
        </w:tabs>
        <w:ind w:left="1723" w:hanging="360"/>
      </w:pPr>
      <w:rPr>
        <w:sz w:val="24"/>
        <w:szCs w:val="26"/>
      </w:rPr>
    </w:lvl>
    <w:lvl w:ilvl="3">
      <w:start w:val="1"/>
      <w:numFmt w:val="decimal"/>
      <w:lvlText w:val="%4."/>
      <w:lvlJc w:val="left"/>
      <w:pPr>
        <w:tabs>
          <w:tab w:val="num" w:pos="0"/>
        </w:tabs>
        <w:ind w:left="2083" w:hanging="360"/>
      </w:pPr>
      <w:rPr>
        <w:sz w:val="24"/>
        <w:szCs w:val="26"/>
      </w:rPr>
    </w:lvl>
    <w:lvl w:ilvl="4">
      <w:start w:val="1"/>
      <w:numFmt w:val="decimal"/>
      <w:lvlText w:val="%5."/>
      <w:lvlJc w:val="left"/>
      <w:pPr>
        <w:tabs>
          <w:tab w:val="num" w:pos="0"/>
        </w:tabs>
        <w:ind w:left="2443" w:hanging="360"/>
      </w:pPr>
      <w:rPr>
        <w:sz w:val="24"/>
        <w:szCs w:val="26"/>
      </w:rPr>
    </w:lvl>
    <w:lvl w:ilvl="5">
      <w:start w:val="1"/>
      <w:numFmt w:val="decimal"/>
      <w:lvlText w:val="%6."/>
      <w:lvlJc w:val="left"/>
      <w:pPr>
        <w:tabs>
          <w:tab w:val="num" w:pos="0"/>
        </w:tabs>
        <w:ind w:left="2803" w:hanging="360"/>
      </w:pPr>
      <w:rPr>
        <w:sz w:val="24"/>
        <w:szCs w:val="26"/>
      </w:rPr>
    </w:lvl>
    <w:lvl w:ilvl="6">
      <w:start w:val="1"/>
      <w:numFmt w:val="decimal"/>
      <w:lvlText w:val="%7."/>
      <w:lvlJc w:val="left"/>
      <w:pPr>
        <w:tabs>
          <w:tab w:val="num" w:pos="0"/>
        </w:tabs>
        <w:ind w:left="3163" w:hanging="360"/>
      </w:pPr>
      <w:rPr>
        <w:sz w:val="24"/>
        <w:szCs w:val="26"/>
      </w:rPr>
    </w:lvl>
    <w:lvl w:ilvl="7">
      <w:start w:val="1"/>
      <w:numFmt w:val="decimal"/>
      <w:lvlText w:val="%8."/>
      <w:lvlJc w:val="left"/>
      <w:pPr>
        <w:tabs>
          <w:tab w:val="num" w:pos="0"/>
        </w:tabs>
        <w:ind w:left="3523" w:hanging="360"/>
      </w:pPr>
      <w:rPr>
        <w:sz w:val="24"/>
        <w:szCs w:val="26"/>
      </w:rPr>
    </w:lvl>
    <w:lvl w:ilvl="8">
      <w:start w:val="1"/>
      <w:numFmt w:val="decimal"/>
      <w:lvlText w:val="%9."/>
      <w:lvlJc w:val="left"/>
      <w:pPr>
        <w:tabs>
          <w:tab w:val="num" w:pos="0"/>
        </w:tabs>
        <w:ind w:left="3883" w:hanging="360"/>
      </w:pPr>
      <w:rPr>
        <w:sz w:val="24"/>
        <w:szCs w:val="26"/>
      </w:rPr>
    </w:lvl>
  </w:abstractNum>
  <w:abstractNum w:abstractNumId="8">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9">
    <w:lvl w:ilvl="0">
      <w:numFmt w:val="bullet"/>
      <w:lvlText w:val=""/>
      <w:lvlJc w:val="left"/>
      <w:pPr>
        <w:tabs>
          <w:tab w:val="num" w:pos="0"/>
        </w:tabs>
        <w:ind w:left="720" w:hanging="360"/>
      </w:pPr>
      <w:rPr>
        <w:rFonts w:ascii="Symbol" w:hAnsi="Symbol" w:cs="Symbol" w:hint="default"/>
      </w:rPr>
    </w:lvl>
    <w:lvl w:ilvl="1">
      <w:start w:val="0"/>
      <w:numFmt w:val="bullet"/>
      <w:lvlText w:val="o"/>
      <w:lvlJc w:val="left"/>
      <w:pPr>
        <w:tabs>
          <w:tab w:val="num" w:pos="0"/>
        </w:tabs>
        <w:ind w:left="1440" w:hanging="360"/>
      </w:pPr>
      <w:rPr>
        <w:rFonts w:ascii="Courier New" w:hAnsi="Courier New" w:cs="Courier New"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Courier New" w:hAnsi="Courier New" w:cs="Courier New"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Courier New" w:hAnsi="Courier New" w:cs="Courier New"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10">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1">
    <w:lvl w:ilvl="0">
      <w:start w:val="1"/>
      <w:numFmt w:val="decimal"/>
      <w:lvlText w:val="%1."/>
      <w:lvlJc w:val="left"/>
      <w:pPr>
        <w:tabs>
          <w:tab w:val="num" w:pos="0"/>
        </w:tabs>
        <w:ind w:left="720" w:hanging="360"/>
      </w:pPr>
      <w:rPr>
        <w:sz w:val="24"/>
        <w:szCs w:val="26"/>
      </w:rPr>
    </w:lvl>
    <w:lvl w:ilvl="1">
      <w:start w:val="1"/>
      <w:numFmt w:val="decimal"/>
      <w:lvlText w:val="%2."/>
      <w:lvlJc w:val="left"/>
      <w:pPr>
        <w:tabs>
          <w:tab w:val="num" w:pos="0"/>
        </w:tabs>
        <w:ind w:left="1080" w:hanging="360"/>
      </w:pPr>
      <w:rPr>
        <w:sz w:val="24"/>
        <w:szCs w:val="26"/>
      </w:rPr>
    </w:lvl>
    <w:lvl w:ilvl="2">
      <w:start w:val="1"/>
      <w:numFmt w:val="decimal"/>
      <w:lvlText w:val="%3."/>
      <w:lvlJc w:val="left"/>
      <w:pPr>
        <w:tabs>
          <w:tab w:val="num" w:pos="0"/>
        </w:tabs>
        <w:ind w:left="1440" w:hanging="360"/>
      </w:pPr>
      <w:rPr>
        <w:sz w:val="24"/>
        <w:szCs w:val="26"/>
      </w:rPr>
    </w:lvl>
    <w:lvl w:ilvl="3">
      <w:start w:val="1"/>
      <w:numFmt w:val="decimal"/>
      <w:lvlText w:val="%4."/>
      <w:lvlJc w:val="left"/>
      <w:pPr>
        <w:tabs>
          <w:tab w:val="num" w:pos="0"/>
        </w:tabs>
        <w:ind w:left="1800" w:hanging="360"/>
      </w:pPr>
      <w:rPr>
        <w:sz w:val="24"/>
        <w:szCs w:val="26"/>
      </w:rPr>
    </w:lvl>
    <w:lvl w:ilvl="4">
      <w:start w:val="1"/>
      <w:numFmt w:val="decimal"/>
      <w:lvlText w:val="%5."/>
      <w:lvlJc w:val="left"/>
      <w:pPr>
        <w:tabs>
          <w:tab w:val="num" w:pos="0"/>
        </w:tabs>
        <w:ind w:left="2160" w:hanging="360"/>
      </w:pPr>
      <w:rPr>
        <w:sz w:val="24"/>
        <w:szCs w:val="26"/>
      </w:rPr>
    </w:lvl>
    <w:lvl w:ilvl="5">
      <w:start w:val="1"/>
      <w:numFmt w:val="decimal"/>
      <w:lvlText w:val="%6."/>
      <w:lvlJc w:val="left"/>
      <w:pPr>
        <w:tabs>
          <w:tab w:val="num" w:pos="0"/>
        </w:tabs>
        <w:ind w:left="2520" w:hanging="360"/>
      </w:pPr>
      <w:rPr>
        <w:sz w:val="24"/>
        <w:szCs w:val="26"/>
      </w:rPr>
    </w:lvl>
    <w:lvl w:ilvl="6">
      <w:start w:val="1"/>
      <w:numFmt w:val="decimal"/>
      <w:lvlText w:val="%7."/>
      <w:lvlJc w:val="left"/>
      <w:pPr>
        <w:tabs>
          <w:tab w:val="num" w:pos="0"/>
        </w:tabs>
        <w:ind w:left="2880" w:hanging="360"/>
      </w:pPr>
      <w:rPr>
        <w:sz w:val="24"/>
        <w:szCs w:val="26"/>
      </w:rPr>
    </w:lvl>
    <w:lvl w:ilvl="7">
      <w:start w:val="1"/>
      <w:numFmt w:val="decimal"/>
      <w:lvlText w:val="%8."/>
      <w:lvlJc w:val="left"/>
      <w:pPr>
        <w:tabs>
          <w:tab w:val="num" w:pos="0"/>
        </w:tabs>
        <w:ind w:left="3240" w:hanging="360"/>
      </w:pPr>
      <w:rPr>
        <w:sz w:val="24"/>
        <w:szCs w:val="26"/>
      </w:rPr>
    </w:lvl>
    <w:lvl w:ilvl="8">
      <w:start w:val="1"/>
      <w:numFmt w:val="decimal"/>
      <w:lvlText w:val="%9."/>
      <w:lvlJc w:val="left"/>
      <w:pPr>
        <w:tabs>
          <w:tab w:val="num" w:pos="0"/>
        </w:tabs>
        <w:ind w:left="3600" w:hanging="360"/>
      </w:pPr>
      <w:rPr>
        <w:sz w:val="24"/>
        <w:szCs w:val="26"/>
      </w:rPr>
    </w:lvl>
  </w:abstractNum>
  <w:abstractNum w:abstractNumId="12">
    <w:lvl w:ilvl="0">
      <w:start w:val="1"/>
      <w:numFmt w:val="decimal"/>
      <w:lvlText w:val="%1."/>
      <w:lvlJc w:val="left"/>
      <w:pPr>
        <w:tabs>
          <w:tab w:val="num" w:pos="0"/>
        </w:tabs>
        <w:ind w:left="720" w:hanging="360"/>
      </w:pPr>
      <w:rPr>
        <w:sz w:val="24"/>
        <w:szCs w:val="26"/>
      </w:rPr>
    </w:lvl>
    <w:lvl w:ilvl="1">
      <w:start w:val="1"/>
      <w:numFmt w:val="decimal"/>
      <w:lvlText w:val="%2."/>
      <w:lvlJc w:val="left"/>
      <w:pPr>
        <w:tabs>
          <w:tab w:val="num" w:pos="0"/>
        </w:tabs>
        <w:ind w:left="1080" w:hanging="360"/>
      </w:pPr>
      <w:rPr>
        <w:sz w:val="24"/>
        <w:szCs w:val="26"/>
      </w:rPr>
    </w:lvl>
    <w:lvl w:ilvl="2">
      <w:start w:val="1"/>
      <w:numFmt w:val="decimal"/>
      <w:lvlText w:val="%3."/>
      <w:lvlJc w:val="left"/>
      <w:pPr>
        <w:tabs>
          <w:tab w:val="num" w:pos="0"/>
        </w:tabs>
        <w:ind w:left="1440" w:hanging="360"/>
      </w:pPr>
      <w:rPr>
        <w:sz w:val="24"/>
        <w:szCs w:val="26"/>
      </w:rPr>
    </w:lvl>
    <w:lvl w:ilvl="3">
      <w:start w:val="1"/>
      <w:numFmt w:val="decimal"/>
      <w:lvlText w:val="%4."/>
      <w:lvlJc w:val="left"/>
      <w:pPr>
        <w:tabs>
          <w:tab w:val="num" w:pos="0"/>
        </w:tabs>
        <w:ind w:left="1800" w:hanging="360"/>
      </w:pPr>
      <w:rPr>
        <w:sz w:val="24"/>
        <w:szCs w:val="26"/>
      </w:rPr>
    </w:lvl>
    <w:lvl w:ilvl="4">
      <w:start w:val="1"/>
      <w:numFmt w:val="decimal"/>
      <w:lvlText w:val="%5."/>
      <w:lvlJc w:val="left"/>
      <w:pPr>
        <w:tabs>
          <w:tab w:val="num" w:pos="0"/>
        </w:tabs>
        <w:ind w:left="2160" w:hanging="360"/>
      </w:pPr>
      <w:rPr>
        <w:sz w:val="24"/>
        <w:szCs w:val="26"/>
      </w:rPr>
    </w:lvl>
    <w:lvl w:ilvl="5">
      <w:start w:val="1"/>
      <w:numFmt w:val="decimal"/>
      <w:lvlText w:val="%6."/>
      <w:lvlJc w:val="left"/>
      <w:pPr>
        <w:tabs>
          <w:tab w:val="num" w:pos="0"/>
        </w:tabs>
        <w:ind w:left="2520" w:hanging="360"/>
      </w:pPr>
      <w:rPr>
        <w:sz w:val="24"/>
        <w:szCs w:val="26"/>
      </w:rPr>
    </w:lvl>
    <w:lvl w:ilvl="6">
      <w:start w:val="1"/>
      <w:numFmt w:val="decimal"/>
      <w:lvlText w:val="%7."/>
      <w:lvlJc w:val="left"/>
      <w:pPr>
        <w:tabs>
          <w:tab w:val="num" w:pos="0"/>
        </w:tabs>
        <w:ind w:left="2880" w:hanging="360"/>
      </w:pPr>
      <w:rPr>
        <w:sz w:val="24"/>
        <w:szCs w:val="26"/>
      </w:rPr>
    </w:lvl>
    <w:lvl w:ilvl="7">
      <w:start w:val="1"/>
      <w:numFmt w:val="decimal"/>
      <w:lvlText w:val="%8."/>
      <w:lvlJc w:val="left"/>
      <w:pPr>
        <w:tabs>
          <w:tab w:val="num" w:pos="0"/>
        </w:tabs>
        <w:ind w:left="3240" w:hanging="360"/>
      </w:pPr>
      <w:rPr>
        <w:sz w:val="24"/>
        <w:szCs w:val="26"/>
      </w:rPr>
    </w:lvl>
    <w:lvl w:ilvl="8">
      <w:start w:val="1"/>
      <w:numFmt w:val="decimal"/>
      <w:lvlText w:val="%9."/>
      <w:lvlJc w:val="left"/>
      <w:pPr>
        <w:tabs>
          <w:tab w:val="num" w:pos="0"/>
        </w:tabs>
        <w:ind w:left="3600" w:hanging="360"/>
      </w:pPr>
      <w:rPr>
        <w:sz w:val="24"/>
        <w:szCs w:val="26"/>
      </w:rPr>
    </w:lvl>
  </w:abstractNum>
  <w:abstractNum w:abstractNumId="13">
    <w:lvl w:ilvl="0">
      <w:start w:val="1"/>
      <w:numFmt w:val="decimal"/>
      <w:lvlText w:val="%1."/>
      <w:lvlJc w:val="left"/>
      <w:pPr>
        <w:tabs>
          <w:tab w:val="num" w:pos="0"/>
        </w:tabs>
        <w:ind w:left="720" w:hanging="360"/>
      </w:pPr>
      <w:rPr>
        <w:sz w:val="24"/>
        <w:szCs w:val="26"/>
      </w:rPr>
    </w:lvl>
    <w:lvl w:ilvl="1">
      <w:start w:val="1"/>
      <w:numFmt w:val="decimal"/>
      <w:lvlText w:val="%2."/>
      <w:lvlJc w:val="left"/>
      <w:pPr>
        <w:tabs>
          <w:tab w:val="num" w:pos="0"/>
        </w:tabs>
        <w:ind w:left="1080" w:hanging="360"/>
      </w:pPr>
      <w:rPr>
        <w:sz w:val="24"/>
        <w:szCs w:val="26"/>
      </w:rPr>
    </w:lvl>
    <w:lvl w:ilvl="2">
      <w:start w:val="1"/>
      <w:numFmt w:val="decimal"/>
      <w:lvlText w:val="%3."/>
      <w:lvlJc w:val="left"/>
      <w:pPr>
        <w:tabs>
          <w:tab w:val="num" w:pos="0"/>
        </w:tabs>
        <w:ind w:left="1440" w:hanging="360"/>
      </w:pPr>
      <w:rPr>
        <w:sz w:val="24"/>
        <w:szCs w:val="26"/>
      </w:rPr>
    </w:lvl>
    <w:lvl w:ilvl="3">
      <w:start w:val="1"/>
      <w:numFmt w:val="decimal"/>
      <w:lvlText w:val="%4."/>
      <w:lvlJc w:val="left"/>
      <w:pPr>
        <w:tabs>
          <w:tab w:val="num" w:pos="0"/>
        </w:tabs>
        <w:ind w:left="1800" w:hanging="360"/>
      </w:pPr>
      <w:rPr>
        <w:sz w:val="24"/>
        <w:szCs w:val="26"/>
      </w:rPr>
    </w:lvl>
    <w:lvl w:ilvl="4">
      <w:start w:val="1"/>
      <w:numFmt w:val="decimal"/>
      <w:lvlText w:val="%5."/>
      <w:lvlJc w:val="left"/>
      <w:pPr>
        <w:tabs>
          <w:tab w:val="num" w:pos="0"/>
        </w:tabs>
        <w:ind w:left="2160" w:hanging="360"/>
      </w:pPr>
      <w:rPr>
        <w:sz w:val="24"/>
        <w:szCs w:val="26"/>
      </w:rPr>
    </w:lvl>
    <w:lvl w:ilvl="5">
      <w:start w:val="1"/>
      <w:numFmt w:val="decimal"/>
      <w:lvlText w:val="%6."/>
      <w:lvlJc w:val="left"/>
      <w:pPr>
        <w:tabs>
          <w:tab w:val="num" w:pos="0"/>
        </w:tabs>
        <w:ind w:left="2520" w:hanging="360"/>
      </w:pPr>
      <w:rPr>
        <w:sz w:val="24"/>
        <w:szCs w:val="26"/>
      </w:rPr>
    </w:lvl>
    <w:lvl w:ilvl="6">
      <w:start w:val="1"/>
      <w:numFmt w:val="decimal"/>
      <w:lvlText w:val="%7."/>
      <w:lvlJc w:val="left"/>
      <w:pPr>
        <w:tabs>
          <w:tab w:val="num" w:pos="0"/>
        </w:tabs>
        <w:ind w:left="2880" w:hanging="360"/>
      </w:pPr>
      <w:rPr>
        <w:sz w:val="24"/>
        <w:szCs w:val="26"/>
      </w:rPr>
    </w:lvl>
    <w:lvl w:ilvl="7">
      <w:start w:val="1"/>
      <w:numFmt w:val="decimal"/>
      <w:lvlText w:val="%8."/>
      <w:lvlJc w:val="left"/>
      <w:pPr>
        <w:tabs>
          <w:tab w:val="num" w:pos="0"/>
        </w:tabs>
        <w:ind w:left="3240" w:hanging="360"/>
      </w:pPr>
      <w:rPr>
        <w:sz w:val="24"/>
        <w:szCs w:val="26"/>
      </w:rPr>
    </w:lvl>
    <w:lvl w:ilvl="8">
      <w:start w:val="1"/>
      <w:numFmt w:val="decimal"/>
      <w:lvlText w:val="%9."/>
      <w:lvlJc w:val="left"/>
      <w:pPr>
        <w:tabs>
          <w:tab w:val="num" w:pos="0"/>
        </w:tabs>
        <w:ind w:left="3600" w:hanging="360"/>
      </w:pPr>
      <w:rPr>
        <w:sz w:val="24"/>
        <w:szCs w:val="26"/>
      </w:rPr>
    </w:lvl>
  </w:abstractNum>
  <w:abstractNum w:abstractNumId="14">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5">
    <w:lvl w:ilvl="0">
      <w:numFmt w:val="bullet"/>
      <w:lvlText w:val=""/>
      <w:lvlJc w:val="left"/>
      <w:pPr>
        <w:tabs>
          <w:tab w:val="num" w:pos="0"/>
        </w:tabs>
        <w:ind w:left="720" w:hanging="360"/>
      </w:pPr>
      <w:rPr>
        <w:rFonts w:ascii="Symbol" w:hAnsi="Symbol" w:cs="Symbol" w:hint="default"/>
      </w:rPr>
    </w:lvl>
    <w:lvl w:ilvl="1">
      <w:start w:val="0"/>
      <w:numFmt w:val="bullet"/>
      <w:lvlText w:val="◦"/>
      <w:lvlJc w:val="left"/>
      <w:pPr>
        <w:tabs>
          <w:tab w:val="num" w:pos="0"/>
        </w:tabs>
        <w:ind w:left="1080" w:hanging="360"/>
      </w:pPr>
      <w:rPr>
        <w:rFonts w:ascii="OpenSymbol" w:hAnsi="OpenSymbol" w:cs="OpenSymbol" w:hint="default"/>
      </w:rPr>
    </w:lvl>
    <w:lvl w:ilvl="2">
      <w:start w:val="0"/>
      <w:numFmt w:val="bullet"/>
      <w:lvlText w:val="▪"/>
      <w:lvlJc w:val="left"/>
      <w:pPr>
        <w:tabs>
          <w:tab w:val="num" w:pos="0"/>
        </w:tabs>
        <w:ind w:left="1440" w:hanging="360"/>
      </w:pPr>
      <w:rPr>
        <w:rFonts w:ascii="OpenSymbol" w:hAnsi="OpenSymbol" w:cs="OpenSymbol" w:hint="default"/>
      </w:rPr>
    </w:lvl>
    <w:lvl w:ilvl="3">
      <w:start w:val="0"/>
      <w:numFmt w:val="bullet"/>
      <w:lvlText w:val=""/>
      <w:lvlJc w:val="left"/>
      <w:pPr>
        <w:tabs>
          <w:tab w:val="num" w:pos="0"/>
        </w:tabs>
        <w:ind w:left="1800" w:hanging="360"/>
      </w:pPr>
      <w:rPr>
        <w:rFonts w:ascii="Symbol" w:hAnsi="Symbol" w:cs="Symbol" w:hint="default"/>
      </w:rPr>
    </w:lvl>
    <w:lvl w:ilvl="4">
      <w:start w:val="0"/>
      <w:numFmt w:val="bullet"/>
      <w:lvlText w:val="◦"/>
      <w:lvlJc w:val="left"/>
      <w:pPr>
        <w:tabs>
          <w:tab w:val="num" w:pos="0"/>
        </w:tabs>
        <w:ind w:left="2160" w:hanging="360"/>
      </w:pPr>
      <w:rPr>
        <w:rFonts w:ascii="OpenSymbol" w:hAnsi="OpenSymbol" w:cs="OpenSymbol" w:hint="default"/>
      </w:rPr>
    </w:lvl>
    <w:lvl w:ilvl="5">
      <w:start w:val="0"/>
      <w:numFmt w:val="bullet"/>
      <w:lvlText w:val="▪"/>
      <w:lvlJc w:val="left"/>
      <w:pPr>
        <w:tabs>
          <w:tab w:val="num" w:pos="0"/>
        </w:tabs>
        <w:ind w:left="2520" w:hanging="360"/>
      </w:pPr>
      <w:rPr>
        <w:rFonts w:ascii="OpenSymbol" w:hAnsi="OpenSymbol" w:cs="OpenSymbol" w:hint="default"/>
      </w:rPr>
    </w:lvl>
    <w:lvl w:ilvl="6">
      <w:start w:val="0"/>
      <w:numFmt w:val="bullet"/>
      <w:lvlText w:val=""/>
      <w:lvlJc w:val="left"/>
      <w:pPr>
        <w:tabs>
          <w:tab w:val="num" w:pos="0"/>
        </w:tabs>
        <w:ind w:left="2880" w:hanging="360"/>
      </w:pPr>
      <w:rPr>
        <w:rFonts w:ascii="Symbol" w:hAnsi="Symbol" w:cs="Symbol" w:hint="default"/>
      </w:rPr>
    </w:lvl>
    <w:lvl w:ilvl="7">
      <w:start w:val="0"/>
      <w:numFmt w:val="bullet"/>
      <w:lvlText w:val="◦"/>
      <w:lvlJc w:val="left"/>
      <w:pPr>
        <w:tabs>
          <w:tab w:val="num" w:pos="0"/>
        </w:tabs>
        <w:ind w:left="3240" w:hanging="360"/>
      </w:pPr>
      <w:rPr>
        <w:rFonts w:ascii="OpenSymbol" w:hAnsi="OpenSymbol" w:cs="OpenSymbol" w:hint="default"/>
      </w:rPr>
    </w:lvl>
    <w:lvl w:ilvl="8">
      <w:start w:val="0"/>
      <w:numFmt w:val="bullet"/>
      <w:lvlText w:val="▪"/>
      <w:lvlJc w:val="left"/>
      <w:pPr>
        <w:tabs>
          <w:tab w:val="num" w:pos="0"/>
        </w:tabs>
        <w:ind w:left="3600" w:hanging="360"/>
      </w:pPr>
      <w:rPr>
        <w:rFonts w:ascii="OpenSymbol" w:hAnsi="OpenSymbol" w:cs="OpenSymbol" w:hint="default"/>
      </w:rPr>
    </w:lvl>
  </w:abstractNum>
  <w:abstractNum w:abstractNumId="16">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7">
    <w:lvl w:ilvl="0">
      <w:numFmt w:val="bullet"/>
      <w:lvlText w:val=""/>
      <w:lvlJc w:val="left"/>
      <w:pPr>
        <w:tabs>
          <w:tab w:val="num" w:pos="0"/>
        </w:tabs>
        <w:ind w:left="720" w:hanging="360"/>
      </w:pPr>
      <w:rPr>
        <w:rFonts w:ascii="Symbol" w:hAnsi="Symbol" w:cs="Symbol" w:hint="default"/>
      </w:rPr>
    </w:lvl>
    <w:lvl w:ilvl="1">
      <w:start w:val="0"/>
      <w:numFmt w:val="bullet"/>
      <w:lvlText w:val="◦"/>
      <w:lvlJc w:val="left"/>
      <w:pPr>
        <w:tabs>
          <w:tab w:val="num" w:pos="0"/>
        </w:tabs>
        <w:ind w:left="1080" w:hanging="360"/>
      </w:pPr>
      <w:rPr>
        <w:rFonts w:ascii="OpenSymbol" w:hAnsi="OpenSymbol" w:cs="OpenSymbol" w:hint="default"/>
      </w:rPr>
    </w:lvl>
    <w:lvl w:ilvl="2">
      <w:start w:val="0"/>
      <w:numFmt w:val="bullet"/>
      <w:lvlText w:val="▪"/>
      <w:lvlJc w:val="left"/>
      <w:pPr>
        <w:tabs>
          <w:tab w:val="num" w:pos="0"/>
        </w:tabs>
        <w:ind w:left="1440" w:hanging="360"/>
      </w:pPr>
      <w:rPr>
        <w:rFonts w:ascii="OpenSymbol" w:hAnsi="OpenSymbol" w:cs="OpenSymbol" w:hint="default"/>
      </w:rPr>
    </w:lvl>
    <w:lvl w:ilvl="3">
      <w:start w:val="0"/>
      <w:numFmt w:val="bullet"/>
      <w:lvlText w:val=""/>
      <w:lvlJc w:val="left"/>
      <w:pPr>
        <w:tabs>
          <w:tab w:val="num" w:pos="0"/>
        </w:tabs>
        <w:ind w:left="1800" w:hanging="360"/>
      </w:pPr>
      <w:rPr>
        <w:rFonts w:ascii="Symbol" w:hAnsi="Symbol" w:cs="Symbol" w:hint="default"/>
      </w:rPr>
    </w:lvl>
    <w:lvl w:ilvl="4">
      <w:start w:val="0"/>
      <w:numFmt w:val="bullet"/>
      <w:lvlText w:val="◦"/>
      <w:lvlJc w:val="left"/>
      <w:pPr>
        <w:tabs>
          <w:tab w:val="num" w:pos="0"/>
        </w:tabs>
        <w:ind w:left="2160" w:hanging="360"/>
      </w:pPr>
      <w:rPr>
        <w:rFonts w:ascii="OpenSymbol" w:hAnsi="OpenSymbol" w:cs="OpenSymbol" w:hint="default"/>
      </w:rPr>
    </w:lvl>
    <w:lvl w:ilvl="5">
      <w:start w:val="0"/>
      <w:numFmt w:val="bullet"/>
      <w:lvlText w:val="▪"/>
      <w:lvlJc w:val="left"/>
      <w:pPr>
        <w:tabs>
          <w:tab w:val="num" w:pos="0"/>
        </w:tabs>
        <w:ind w:left="2520" w:hanging="360"/>
      </w:pPr>
      <w:rPr>
        <w:rFonts w:ascii="OpenSymbol" w:hAnsi="OpenSymbol" w:cs="OpenSymbol" w:hint="default"/>
      </w:rPr>
    </w:lvl>
    <w:lvl w:ilvl="6">
      <w:start w:val="0"/>
      <w:numFmt w:val="bullet"/>
      <w:lvlText w:val=""/>
      <w:lvlJc w:val="left"/>
      <w:pPr>
        <w:tabs>
          <w:tab w:val="num" w:pos="0"/>
        </w:tabs>
        <w:ind w:left="2880" w:hanging="360"/>
      </w:pPr>
      <w:rPr>
        <w:rFonts w:ascii="Symbol" w:hAnsi="Symbol" w:cs="Symbol" w:hint="default"/>
      </w:rPr>
    </w:lvl>
    <w:lvl w:ilvl="7">
      <w:start w:val="0"/>
      <w:numFmt w:val="bullet"/>
      <w:lvlText w:val="◦"/>
      <w:lvlJc w:val="left"/>
      <w:pPr>
        <w:tabs>
          <w:tab w:val="num" w:pos="0"/>
        </w:tabs>
        <w:ind w:left="3240" w:hanging="360"/>
      </w:pPr>
      <w:rPr>
        <w:rFonts w:ascii="OpenSymbol" w:hAnsi="OpenSymbol" w:cs="OpenSymbol" w:hint="default"/>
      </w:rPr>
    </w:lvl>
    <w:lvl w:ilvl="8">
      <w:start w:val="0"/>
      <w:numFmt w:val="bullet"/>
      <w:lvlText w:val="▪"/>
      <w:lvlJc w:val="left"/>
      <w:pPr>
        <w:tabs>
          <w:tab w:val="num" w:pos="0"/>
        </w:tabs>
        <w:ind w:left="3600" w:hanging="360"/>
      </w:pPr>
      <w:rPr>
        <w:rFonts w:ascii="OpenSymbol" w:hAnsi="OpenSymbol" w:cs="OpenSymbol" w:hint="default"/>
      </w:rPr>
    </w:lvl>
  </w:abstractNum>
  <w:abstractNum w:abstractNumId="18">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9">
    <w:lvl w:ilvl="0">
      <w:numFmt w:val="bullet"/>
      <w:lvlText w:val=""/>
      <w:lvlJc w:val="left"/>
      <w:pPr>
        <w:tabs>
          <w:tab w:val="num" w:pos="0"/>
        </w:tabs>
        <w:ind w:left="720" w:hanging="360"/>
      </w:pPr>
      <w:rPr>
        <w:rFonts w:ascii="Symbol" w:hAnsi="Symbol" w:cs="Symbol" w:hint="default"/>
      </w:rPr>
    </w:lvl>
    <w:lvl w:ilvl="1">
      <w:start w:val="0"/>
      <w:numFmt w:val="bullet"/>
      <w:lvlText w:val="◦"/>
      <w:lvlJc w:val="left"/>
      <w:pPr>
        <w:tabs>
          <w:tab w:val="num" w:pos="0"/>
        </w:tabs>
        <w:ind w:left="1080" w:hanging="360"/>
      </w:pPr>
      <w:rPr>
        <w:rFonts w:ascii="OpenSymbol" w:hAnsi="OpenSymbol" w:cs="OpenSymbol" w:hint="default"/>
      </w:rPr>
    </w:lvl>
    <w:lvl w:ilvl="2">
      <w:start w:val="0"/>
      <w:numFmt w:val="bullet"/>
      <w:lvlText w:val="▪"/>
      <w:lvlJc w:val="left"/>
      <w:pPr>
        <w:tabs>
          <w:tab w:val="num" w:pos="0"/>
        </w:tabs>
        <w:ind w:left="1440" w:hanging="360"/>
      </w:pPr>
      <w:rPr>
        <w:rFonts w:ascii="OpenSymbol" w:hAnsi="OpenSymbol" w:cs="OpenSymbol" w:hint="default"/>
      </w:rPr>
    </w:lvl>
    <w:lvl w:ilvl="3">
      <w:start w:val="0"/>
      <w:numFmt w:val="bullet"/>
      <w:lvlText w:val=""/>
      <w:lvlJc w:val="left"/>
      <w:pPr>
        <w:tabs>
          <w:tab w:val="num" w:pos="0"/>
        </w:tabs>
        <w:ind w:left="1800" w:hanging="360"/>
      </w:pPr>
      <w:rPr>
        <w:rFonts w:ascii="Symbol" w:hAnsi="Symbol" w:cs="Symbol" w:hint="default"/>
      </w:rPr>
    </w:lvl>
    <w:lvl w:ilvl="4">
      <w:start w:val="0"/>
      <w:numFmt w:val="bullet"/>
      <w:lvlText w:val="◦"/>
      <w:lvlJc w:val="left"/>
      <w:pPr>
        <w:tabs>
          <w:tab w:val="num" w:pos="0"/>
        </w:tabs>
        <w:ind w:left="2160" w:hanging="360"/>
      </w:pPr>
      <w:rPr>
        <w:rFonts w:ascii="OpenSymbol" w:hAnsi="OpenSymbol" w:cs="OpenSymbol" w:hint="default"/>
      </w:rPr>
    </w:lvl>
    <w:lvl w:ilvl="5">
      <w:start w:val="0"/>
      <w:numFmt w:val="bullet"/>
      <w:lvlText w:val="▪"/>
      <w:lvlJc w:val="left"/>
      <w:pPr>
        <w:tabs>
          <w:tab w:val="num" w:pos="0"/>
        </w:tabs>
        <w:ind w:left="2520" w:hanging="360"/>
      </w:pPr>
      <w:rPr>
        <w:rFonts w:ascii="OpenSymbol" w:hAnsi="OpenSymbol" w:cs="OpenSymbol" w:hint="default"/>
      </w:rPr>
    </w:lvl>
    <w:lvl w:ilvl="6">
      <w:start w:val="0"/>
      <w:numFmt w:val="bullet"/>
      <w:lvlText w:val=""/>
      <w:lvlJc w:val="left"/>
      <w:pPr>
        <w:tabs>
          <w:tab w:val="num" w:pos="0"/>
        </w:tabs>
        <w:ind w:left="2880" w:hanging="360"/>
      </w:pPr>
      <w:rPr>
        <w:rFonts w:ascii="Symbol" w:hAnsi="Symbol" w:cs="Symbol" w:hint="default"/>
      </w:rPr>
    </w:lvl>
    <w:lvl w:ilvl="7">
      <w:start w:val="0"/>
      <w:numFmt w:val="bullet"/>
      <w:lvlText w:val="◦"/>
      <w:lvlJc w:val="left"/>
      <w:pPr>
        <w:tabs>
          <w:tab w:val="num" w:pos="0"/>
        </w:tabs>
        <w:ind w:left="3240" w:hanging="360"/>
      </w:pPr>
      <w:rPr>
        <w:rFonts w:ascii="OpenSymbol" w:hAnsi="OpenSymbol" w:cs="OpenSymbol" w:hint="default"/>
      </w:rPr>
    </w:lvl>
    <w:lvl w:ilvl="8">
      <w:start w:val="0"/>
      <w:numFmt w:val="bullet"/>
      <w:lvlText w:val="▪"/>
      <w:lvlJc w:val="left"/>
      <w:pPr>
        <w:tabs>
          <w:tab w:val="num" w:pos="0"/>
        </w:tabs>
        <w:ind w:left="3600" w:hanging="360"/>
      </w:pPr>
      <w:rPr>
        <w:rFonts w:ascii="OpenSymbol" w:hAnsi="OpenSymbol" w:cs="OpenSymbol" w:hint="default"/>
      </w:rPr>
    </w:lvl>
  </w:abstractNum>
  <w:abstractNum w:abstractNumId="20">
    <w:lvl w:ilvl="0">
      <w:numFmt w:val="bullet"/>
      <w:lvlText w:val=""/>
      <w:lvlJc w:val="left"/>
      <w:pPr>
        <w:tabs>
          <w:tab w:val="num" w:pos="0"/>
        </w:tabs>
        <w:ind w:left="720" w:hanging="360"/>
      </w:pPr>
      <w:rPr>
        <w:rFonts w:ascii="Symbol" w:hAnsi="Symbol" w:cs="Symbol" w:hint="default"/>
      </w:rPr>
    </w:lvl>
    <w:lvl w:ilvl="1">
      <w:start w:val="0"/>
      <w:numFmt w:val="bullet"/>
      <w:lvlText w:val="◦"/>
      <w:lvlJc w:val="left"/>
      <w:pPr>
        <w:tabs>
          <w:tab w:val="num" w:pos="0"/>
        </w:tabs>
        <w:ind w:left="1080" w:hanging="360"/>
      </w:pPr>
      <w:rPr>
        <w:rFonts w:ascii="OpenSymbol" w:hAnsi="OpenSymbol" w:cs="OpenSymbol" w:hint="default"/>
      </w:rPr>
    </w:lvl>
    <w:lvl w:ilvl="2">
      <w:start w:val="0"/>
      <w:numFmt w:val="bullet"/>
      <w:lvlText w:val="▪"/>
      <w:lvlJc w:val="left"/>
      <w:pPr>
        <w:tabs>
          <w:tab w:val="num" w:pos="0"/>
        </w:tabs>
        <w:ind w:left="1440" w:hanging="360"/>
      </w:pPr>
      <w:rPr>
        <w:rFonts w:ascii="OpenSymbol" w:hAnsi="OpenSymbol" w:cs="OpenSymbol" w:hint="default"/>
      </w:rPr>
    </w:lvl>
    <w:lvl w:ilvl="3">
      <w:start w:val="0"/>
      <w:numFmt w:val="bullet"/>
      <w:lvlText w:val=""/>
      <w:lvlJc w:val="left"/>
      <w:pPr>
        <w:tabs>
          <w:tab w:val="num" w:pos="0"/>
        </w:tabs>
        <w:ind w:left="1800" w:hanging="360"/>
      </w:pPr>
      <w:rPr>
        <w:rFonts w:ascii="Symbol" w:hAnsi="Symbol" w:cs="Symbol" w:hint="default"/>
      </w:rPr>
    </w:lvl>
    <w:lvl w:ilvl="4">
      <w:start w:val="0"/>
      <w:numFmt w:val="bullet"/>
      <w:lvlText w:val="◦"/>
      <w:lvlJc w:val="left"/>
      <w:pPr>
        <w:tabs>
          <w:tab w:val="num" w:pos="0"/>
        </w:tabs>
        <w:ind w:left="2160" w:hanging="360"/>
      </w:pPr>
      <w:rPr>
        <w:rFonts w:ascii="OpenSymbol" w:hAnsi="OpenSymbol" w:cs="OpenSymbol" w:hint="default"/>
      </w:rPr>
    </w:lvl>
    <w:lvl w:ilvl="5">
      <w:start w:val="0"/>
      <w:numFmt w:val="bullet"/>
      <w:lvlText w:val="▪"/>
      <w:lvlJc w:val="left"/>
      <w:pPr>
        <w:tabs>
          <w:tab w:val="num" w:pos="0"/>
        </w:tabs>
        <w:ind w:left="2520" w:hanging="360"/>
      </w:pPr>
      <w:rPr>
        <w:rFonts w:ascii="OpenSymbol" w:hAnsi="OpenSymbol" w:cs="OpenSymbol" w:hint="default"/>
      </w:rPr>
    </w:lvl>
    <w:lvl w:ilvl="6">
      <w:start w:val="0"/>
      <w:numFmt w:val="bullet"/>
      <w:lvlText w:val=""/>
      <w:lvlJc w:val="left"/>
      <w:pPr>
        <w:tabs>
          <w:tab w:val="num" w:pos="0"/>
        </w:tabs>
        <w:ind w:left="2880" w:hanging="360"/>
      </w:pPr>
      <w:rPr>
        <w:rFonts w:ascii="Symbol" w:hAnsi="Symbol" w:cs="Symbol" w:hint="default"/>
      </w:rPr>
    </w:lvl>
    <w:lvl w:ilvl="7">
      <w:start w:val="0"/>
      <w:numFmt w:val="bullet"/>
      <w:lvlText w:val="◦"/>
      <w:lvlJc w:val="left"/>
      <w:pPr>
        <w:tabs>
          <w:tab w:val="num" w:pos="0"/>
        </w:tabs>
        <w:ind w:left="3240" w:hanging="360"/>
      </w:pPr>
      <w:rPr>
        <w:rFonts w:ascii="OpenSymbol" w:hAnsi="OpenSymbol" w:cs="OpenSymbol" w:hint="default"/>
      </w:rPr>
    </w:lvl>
    <w:lvl w:ilvl="8">
      <w:start w:val="0"/>
      <w:numFmt w:val="bullet"/>
      <w:lvlText w:val="▪"/>
      <w:lvlJc w:val="left"/>
      <w:pPr>
        <w:tabs>
          <w:tab w:val="num" w:pos="0"/>
        </w:tabs>
        <w:ind w:left="3600" w:hanging="360"/>
      </w:pPr>
      <w:rPr>
        <w:rFonts w:ascii="OpenSymbol" w:hAnsi="OpenSymbol" w:cs="OpenSymbol" w:hint="default"/>
      </w:rPr>
    </w:lvl>
  </w:abstractNum>
  <w:abstractNum w:abstractNumId="21">
    <w:lvl w:ilvl="0">
      <w:numFmt w:val="bullet"/>
      <w:lvlText w:val=""/>
      <w:lvlJc w:val="left"/>
      <w:pPr>
        <w:tabs>
          <w:tab w:val="num" w:pos="0"/>
        </w:tabs>
        <w:ind w:left="720" w:hanging="360"/>
      </w:pPr>
      <w:rPr>
        <w:rFonts w:ascii="Symbol" w:hAnsi="Symbol" w:cs="Symbol" w:hint="default"/>
      </w:rPr>
    </w:lvl>
    <w:lvl w:ilvl="1">
      <w:start w:val="0"/>
      <w:numFmt w:val="bullet"/>
      <w:lvlText w:val="◦"/>
      <w:lvlJc w:val="left"/>
      <w:pPr>
        <w:tabs>
          <w:tab w:val="num" w:pos="0"/>
        </w:tabs>
        <w:ind w:left="1080" w:hanging="360"/>
      </w:pPr>
      <w:rPr>
        <w:rFonts w:ascii="OpenSymbol" w:hAnsi="OpenSymbol" w:cs="OpenSymbol" w:hint="default"/>
      </w:rPr>
    </w:lvl>
    <w:lvl w:ilvl="2">
      <w:start w:val="0"/>
      <w:numFmt w:val="bullet"/>
      <w:lvlText w:val="▪"/>
      <w:lvlJc w:val="left"/>
      <w:pPr>
        <w:tabs>
          <w:tab w:val="num" w:pos="0"/>
        </w:tabs>
        <w:ind w:left="1440" w:hanging="360"/>
      </w:pPr>
      <w:rPr>
        <w:rFonts w:ascii="OpenSymbol" w:hAnsi="OpenSymbol" w:cs="OpenSymbol" w:hint="default"/>
      </w:rPr>
    </w:lvl>
    <w:lvl w:ilvl="3">
      <w:start w:val="0"/>
      <w:numFmt w:val="bullet"/>
      <w:lvlText w:val=""/>
      <w:lvlJc w:val="left"/>
      <w:pPr>
        <w:tabs>
          <w:tab w:val="num" w:pos="0"/>
        </w:tabs>
        <w:ind w:left="1800" w:hanging="360"/>
      </w:pPr>
      <w:rPr>
        <w:rFonts w:ascii="Symbol" w:hAnsi="Symbol" w:cs="Symbol" w:hint="default"/>
      </w:rPr>
    </w:lvl>
    <w:lvl w:ilvl="4">
      <w:start w:val="0"/>
      <w:numFmt w:val="bullet"/>
      <w:lvlText w:val="◦"/>
      <w:lvlJc w:val="left"/>
      <w:pPr>
        <w:tabs>
          <w:tab w:val="num" w:pos="0"/>
        </w:tabs>
        <w:ind w:left="2160" w:hanging="360"/>
      </w:pPr>
      <w:rPr>
        <w:rFonts w:ascii="OpenSymbol" w:hAnsi="OpenSymbol" w:cs="OpenSymbol" w:hint="default"/>
      </w:rPr>
    </w:lvl>
    <w:lvl w:ilvl="5">
      <w:start w:val="0"/>
      <w:numFmt w:val="bullet"/>
      <w:lvlText w:val="▪"/>
      <w:lvlJc w:val="left"/>
      <w:pPr>
        <w:tabs>
          <w:tab w:val="num" w:pos="0"/>
        </w:tabs>
        <w:ind w:left="2520" w:hanging="360"/>
      </w:pPr>
      <w:rPr>
        <w:rFonts w:ascii="OpenSymbol" w:hAnsi="OpenSymbol" w:cs="OpenSymbol" w:hint="default"/>
      </w:rPr>
    </w:lvl>
    <w:lvl w:ilvl="6">
      <w:start w:val="0"/>
      <w:numFmt w:val="bullet"/>
      <w:lvlText w:val=""/>
      <w:lvlJc w:val="left"/>
      <w:pPr>
        <w:tabs>
          <w:tab w:val="num" w:pos="0"/>
        </w:tabs>
        <w:ind w:left="2880" w:hanging="360"/>
      </w:pPr>
      <w:rPr>
        <w:rFonts w:ascii="Symbol" w:hAnsi="Symbol" w:cs="Symbol" w:hint="default"/>
      </w:rPr>
    </w:lvl>
    <w:lvl w:ilvl="7">
      <w:start w:val="0"/>
      <w:numFmt w:val="bullet"/>
      <w:lvlText w:val="◦"/>
      <w:lvlJc w:val="left"/>
      <w:pPr>
        <w:tabs>
          <w:tab w:val="num" w:pos="0"/>
        </w:tabs>
        <w:ind w:left="3240" w:hanging="360"/>
      </w:pPr>
      <w:rPr>
        <w:rFonts w:ascii="OpenSymbol" w:hAnsi="OpenSymbol" w:cs="OpenSymbol" w:hint="default"/>
      </w:rPr>
    </w:lvl>
    <w:lvl w:ilvl="8">
      <w:start w:val="0"/>
      <w:numFmt w:val="bullet"/>
      <w:lvlText w:val="▪"/>
      <w:lvlJc w:val="left"/>
      <w:pPr>
        <w:tabs>
          <w:tab w:val="num" w:pos="0"/>
        </w:tabs>
        <w:ind w:left="3600" w:hanging="360"/>
      </w:pPr>
      <w:rPr>
        <w:rFonts w:ascii="OpenSymbol" w:hAnsi="OpenSymbol" w:cs="OpenSymbol" w:hint="default"/>
      </w:rPr>
    </w:lvl>
  </w:abstractNum>
  <w:abstractNum w:abstractNumId="22">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3"/>
    <w:lvlOverride w:ilvl="0">
      <w:startOverride w:val="1"/>
    </w:lvlOverride>
  </w:num>
  <w:num w:numId="25">
    <w:abstractNumId w:val="3"/>
  </w:num>
  <w:num w:numId="26">
    <w:abstractNumId w:val="3"/>
  </w:num>
  <w:num w:numId="27">
    <w:abstractNumId w:val="3"/>
  </w:num>
  <w:num w:numId="28">
    <w:abstractNumId w:val="3"/>
  </w:num>
  <w:num w:numId="29">
    <w:abstractNumId w:val="3"/>
  </w:num>
  <w:num w:numId="30">
    <w:abstractNumId w:val="3"/>
  </w:num>
  <w:num w:numId="31">
    <w:abstractNumId w:val="3"/>
  </w:num>
  <w:num w:numId="32">
    <w:abstractNumId w:val="3"/>
  </w:num>
  <w:num w:numId="33">
    <w:abstractNumId w:val="3"/>
  </w:num>
  <w:num w:numId="34">
    <w:abstractNumId w:val="3"/>
  </w:num>
  <w:num w:numId="35">
    <w:abstractNumId w:val="3"/>
  </w:num>
  <w:num w:numId="36">
    <w:abstractNumId w:val="3"/>
  </w:num>
  <w:num w:numId="37">
    <w:abstractNumId w:val="3"/>
    <w:lvlOverride w:ilvl="0">
      <w:startOverride w:val="1"/>
    </w:lvlOverride>
  </w:num>
  <w:num w:numId="38">
    <w:abstractNumId w:val="3"/>
  </w:num>
  <w:num w:numId="39">
    <w:abstractNumId w:val="3"/>
    <w:lvlOverride w:ilvl="0">
      <w:startOverride w:val="1"/>
    </w:lvlOverride>
  </w:num>
  <w:num w:numId="40">
    <w:abstractNumId w:val="3"/>
    <w:lvlOverride w:ilvl="0">
      <w:startOverride w:val="1"/>
    </w:lvlOverride>
  </w:num>
  <w:num w:numId="41">
    <w:abstractNumId w:val="3"/>
  </w:num>
  <w:num w:numId="42">
    <w:abstractNumId w:val="3"/>
  </w:num>
  <w:num w:numId="43">
    <w:abstractNumId w:val="3"/>
  </w:num>
  <w:num w:numId="44">
    <w:abstractNumId w:val="3"/>
  </w:num>
  <w:num w:numId="45">
    <w:abstractNumId w:val="3"/>
  </w:num>
  <w:num w:numId="46">
    <w:abstractNumId w:val="3"/>
  </w:num>
  <w:num w:numId="47">
    <w:abstractNumId w:val="3"/>
  </w:num>
  <w:num w:numId="48">
    <w:abstractNumId w:val="3"/>
    <w:lvlOverride w:ilvl="0">
      <w:startOverride w:val="1"/>
    </w:lvlOverride>
  </w:num>
  <w:num w:numId="49">
    <w:abstractNumId w:val="3"/>
  </w:num>
  <w:num w:numId="50">
    <w:abstractNumId w:val="3"/>
  </w:num>
  <w:num w:numId="51">
    <w:abstractNumId w:val="3"/>
    <w:lvlOverride w:ilvl="0">
      <w:startOverride w:val="1"/>
    </w:lvlOverride>
  </w:num>
  <w:num w:numId="52">
    <w:abstractNumId w:val="3"/>
  </w:num>
  <w:num w:numId="53">
    <w:abstractNumId w:val="3"/>
  </w:num>
  <w:num w:numId="54">
    <w:abstractNumId w:val="3"/>
    <w:lvlOverride w:ilvl="0">
      <w:startOverride w:val="1"/>
    </w:lvlOverride>
  </w:num>
  <w:num w:numId="55">
    <w:abstractNumId w:val="3"/>
  </w:num>
  <w:num w:numId="56">
    <w:abstractNumId w:val="3"/>
  </w:num>
  <w:num w:numId="57">
    <w:abstractNumId w:val="3"/>
    <w:lvlOverride w:ilvl="0">
      <w:startOverride w:val="1"/>
    </w:lvlOverride>
  </w:num>
  <w:num w:numId="58">
    <w:abstractNumId w:val="3"/>
  </w:num>
  <w:num w:numId="59">
    <w:abstractNumId w:val="2"/>
    <w:lvlOverride w:ilvl="0">
      <w:startOverride w:val="1"/>
    </w:lvlOverride>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5"/>
    <w:compatSetting w:name="useWord2013TrackBottomHyphenation" w:uri="http://schemas.microsoft.com/office/word" w:val="1"/>
  </w:compat>
  <w:hyphenationZone w:val="425"/>
  <w:themeFontLang w:val="uk-UA"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DejaVu Sans"/>
        <w:szCs w:val="22"/>
        <w:lang w:val="ru-RU"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val="false"/>
      <w:suppressAutoHyphens w:val="true"/>
      <w:bidi w:val="0"/>
      <w:spacing w:before="0" w:after="0"/>
      <w:jc w:val="left"/>
      <w:textAlignment w:val="baseline"/>
    </w:pPr>
    <w:rPr>
      <w:rFonts w:ascii="Calibri" w:hAnsi="Calibri" w:eastAsia="Calibri" w:cs="DejaVu Sans"/>
      <w:color w:val="auto"/>
      <w:kern w:val="0"/>
      <w:sz w:val="20"/>
      <w:szCs w:val="22"/>
      <w:lang w:val="ru-RU" w:eastAsia="en-US" w:bidi="ar-SA"/>
    </w:rPr>
  </w:style>
  <w:style w:type="paragraph" w:styleId="3">
    <w:name w:val="Heading 3"/>
    <w:basedOn w:val="Standard"/>
    <w:next w:val="Standard"/>
    <w:uiPriority w:val="9"/>
    <w:semiHidden/>
    <w:unhideWhenUsed/>
    <w:qFormat/>
    <w:pPr>
      <w:keepNext w:val="true"/>
      <w:spacing w:lineRule="auto" w:line="240" w:before="240" w:after="0"/>
      <w:outlineLvl w:val="2"/>
    </w:pPr>
    <w:rPr>
      <w:rFonts w:ascii="Times New Roman" w:hAnsi="Times New Roman" w:eastAsia="Times New Roman"/>
      <w:b/>
      <w:bCs/>
      <w:sz w:val="28"/>
      <w:szCs w:val="28"/>
      <w:lang w:eastAsia="zh-CN"/>
    </w:rPr>
  </w:style>
  <w:style w:type="character" w:styleId="DefaultParagraphFont" w:default="1">
    <w:name w:val="Default Paragraph Font"/>
    <w:uiPriority w:val="1"/>
    <w:semiHidden/>
    <w:unhideWhenUsed/>
    <w:qFormat/>
    <w:rPr/>
  </w:style>
  <w:style w:type="character" w:styleId="31" w:customStyle="1">
    <w:name w:val="Заголовок 3 Знак"/>
    <w:basedOn w:val="DefaultParagraphFont"/>
    <w:qFormat/>
    <w:rPr>
      <w:rFonts w:ascii="Times New Roman" w:hAnsi="Times New Roman" w:eastAsia="Times New Roman" w:cs="Times New Roman"/>
      <w:b/>
      <w:bCs/>
      <w:sz w:val="28"/>
      <w:szCs w:val="28"/>
      <w:lang w:val="uk-UA" w:eastAsia="zh-CN"/>
    </w:rPr>
  </w:style>
  <w:style w:type="character" w:styleId="Style13" w:customStyle="1">
    <w:name w:val="Верхний колонтитул Знак"/>
    <w:basedOn w:val="DefaultParagraphFont"/>
    <w:qFormat/>
    <w:rPr>
      <w:rFonts w:ascii="Calibri" w:hAnsi="Calibri" w:eastAsia="Calibri" w:cs="Times New Roman"/>
      <w:lang w:val="uk-UA"/>
    </w:rPr>
  </w:style>
  <w:style w:type="character" w:styleId="Style14" w:customStyle="1">
    <w:name w:val="Нижний колонтитул Знак"/>
    <w:basedOn w:val="DefaultParagraphFont"/>
    <w:qFormat/>
    <w:rPr>
      <w:rFonts w:ascii="Calibri" w:hAnsi="Calibri" w:eastAsia="Calibri" w:cs="Times New Roman"/>
      <w:lang w:val="uk-UA"/>
    </w:rPr>
  </w:style>
  <w:style w:type="character" w:styleId="Internetlink" w:customStyle="1">
    <w:name w:val="Hyperlink"/>
    <w:qFormat/>
    <w:rPr>
      <w:color w:val="000080"/>
      <w:u w:val="single"/>
    </w:rPr>
  </w:style>
  <w:style w:type="character" w:styleId="Style15">
    <w:name w:val="Выделение"/>
    <w:basedOn w:val="DefaultParagraphFont"/>
    <w:qFormat/>
    <w:rPr>
      <w:i/>
      <w:iCs/>
    </w:rPr>
  </w:style>
  <w:style w:type="character" w:styleId="Style16" w:customStyle="1">
    <w:name w:val="Символ нумерации"/>
    <w:qFormat/>
    <w:rPr>
      <w:rFonts w:ascii="Times New Roman" w:hAnsi="Times New Roman" w:eastAsia="Times New Roman" w:cs="Times New Roman"/>
      <w:sz w:val="24"/>
      <w:szCs w:val="26"/>
    </w:rPr>
  </w:style>
  <w:style w:type="character" w:styleId="VisitedInternetLink" w:customStyle="1">
    <w:name w:val="FollowedHyperlink"/>
    <w:basedOn w:val="DefaultParagraphFont"/>
    <w:qFormat/>
    <w:rPr>
      <w:color w:val="954F72"/>
      <w:u w:val="single"/>
    </w:rPr>
  </w:style>
  <w:style w:type="character" w:styleId="Style17" w:customStyle="1">
    <w:name w:val="Маркеры списка"/>
    <w:qFormat/>
    <w:rPr>
      <w:rFonts w:ascii="OpenSymbol" w:hAnsi="OpenSymbol" w:eastAsia="OpenSymbol" w:cs="OpenSymbol"/>
    </w:rPr>
  </w:style>
  <w:style w:type="character" w:styleId="Style18" w:customStyle="1">
    <w:name w:val="Основной текст Знак"/>
    <w:basedOn w:val="DefaultParagraphFont"/>
    <w:qFormat/>
    <w:rPr>
      <w:rFonts w:ascii="Times New Roman" w:hAnsi="Times New Roman" w:eastAsia="Calibri" w:cs="Times New Roman"/>
      <w:sz w:val="20"/>
      <w:szCs w:val="20"/>
      <w:lang w:val="ru-RU" w:eastAsia="ru-RU"/>
    </w:rPr>
  </w:style>
  <w:style w:type="character" w:styleId="2" w:customStyle="1">
    <w:name w:val="Заголовок 2 Знак"/>
    <w:basedOn w:val="DefaultParagraphFont"/>
    <w:qFormat/>
    <w:rPr>
      <w:rFonts w:ascii="Times New Roman" w:hAnsi="Times New Roman" w:eastAsia="Calibri" w:cs="Times New Roman"/>
      <w:sz w:val="28"/>
      <w:szCs w:val="20"/>
      <w:lang w:val="ru-RU" w:eastAsia="ru-RU"/>
    </w:rPr>
  </w:style>
  <w:style w:type="character" w:styleId="Style19" w:customStyle="1">
    <w:name w:val="Выделение жирным"/>
    <w:qFormat/>
    <w:rPr>
      <w:b/>
      <w:bCs/>
    </w:rPr>
  </w:style>
  <w:style w:type="character" w:styleId="Style20">
    <w:name w:val="Интернет-ссылка"/>
    <w:rPr>
      <w:color w:val="000080"/>
      <w:u w:val="single"/>
      <w:lang w:val="zxx" w:eastAsia="zxx" w:bidi="zxx"/>
    </w:rPr>
  </w:style>
  <w:style w:type="paragraph" w:styleId="Style21" w:customStyle="1">
    <w:name w:val="Заголовок"/>
    <w:basedOn w:val="Standard"/>
    <w:next w:val="Textbody"/>
    <w:qFormat/>
    <w:pPr>
      <w:keepNext w:val="true"/>
      <w:spacing w:before="240" w:after="120"/>
    </w:pPr>
    <w:rPr>
      <w:rFonts w:ascii="Times New Roman" w:hAnsi="Times New Roman" w:eastAsia="Noto Sans CJK SC" w:cs="Lohit Devanagari"/>
      <w:sz w:val="28"/>
      <w:szCs w:val="28"/>
    </w:rPr>
  </w:style>
  <w:style w:type="paragraph" w:styleId="Style22">
    <w:name w:val="Body Text"/>
    <w:basedOn w:val="Normal"/>
    <w:pPr>
      <w:spacing w:lineRule="auto" w:line="276" w:before="0" w:after="140"/>
    </w:pPr>
    <w:rPr/>
  </w:style>
  <w:style w:type="paragraph" w:styleId="Style23">
    <w:name w:val="List"/>
    <w:basedOn w:val="Textbody"/>
    <w:pPr/>
    <w:rPr>
      <w:rFonts w:ascii="Times New Roman" w:hAnsi="Times New Roman" w:eastAsia="Times New Roman" w:cs="Lohit Devanagari"/>
      <w:sz w:val="24"/>
    </w:rPr>
  </w:style>
  <w:style w:type="paragraph" w:styleId="Style24">
    <w:name w:val="Caption"/>
    <w:basedOn w:val="Normal"/>
    <w:qFormat/>
    <w:pPr>
      <w:suppressLineNumbers/>
      <w:spacing w:before="120" w:after="120"/>
    </w:pPr>
    <w:rPr>
      <w:rFonts w:ascii="Times New Roman" w:hAnsi="Times New Roman" w:cs="Lohit Devanagari"/>
      <w:i/>
      <w:iCs/>
      <w:sz w:val="24"/>
      <w:szCs w:val="24"/>
    </w:rPr>
  </w:style>
  <w:style w:type="paragraph" w:styleId="Style25" w:customStyle="1">
    <w:name w:val="Указатель"/>
    <w:basedOn w:val="Standard"/>
    <w:qFormat/>
    <w:pPr>
      <w:suppressLineNumbers/>
    </w:pPr>
    <w:rPr>
      <w:rFonts w:ascii="Times New Roman" w:hAnsi="Times New Roman" w:eastAsia="Times New Roman" w:cs="Lohit Devanagari"/>
      <w:sz w:val="24"/>
    </w:rPr>
  </w:style>
  <w:style w:type="paragraph" w:styleId="Standard" w:customStyle="1">
    <w:name w:val="Standard"/>
    <w:qFormat/>
    <w:pPr>
      <w:widowControl/>
      <w:suppressAutoHyphens w:val="true"/>
      <w:overflowPunct w:val="true"/>
      <w:bidi w:val="0"/>
      <w:spacing w:before="0" w:after="0"/>
      <w:jc w:val="left"/>
      <w:textAlignment w:val="baseline"/>
    </w:pPr>
    <w:rPr>
      <w:rFonts w:ascii="Times New Roman" w:hAnsi="Times New Roman" w:eastAsia="Times New Roman" w:cs="Times New Roman"/>
      <w:color w:val="auto"/>
      <w:kern w:val="0"/>
      <w:sz w:val="20"/>
      <w:szCs w:val="20"/>
      <w:lang w:eastAsia="ru-RU" w:val="ru-RU" w:bidi="ar-SA"/>
    </w:rPr>
  </w:style>
  <w:style w:type="paragraph" w:styleId="Textbody" w:customStyle="1">
    <w:name w:val="Text body"/>
    <w:basedOn w:val="Standard"/>
    <w:qFormat/>
    <w:pPr>
      <w:spacing w:lineRule="auto" w:line="276" w:before="0" w:after="140"/>
    </w:pPr>
    <w:rPr/>
  </w:style>
  <w:style w:type="paragraph" w:styleId="Caption">
    <w:name w:val="caption"/>
    <w:basedOn w:val="Standard"/>
    <w:qFormat/>
    <w:pPr>
      <w:suppressLineNumbers/>
      <w:spacing w:before="120" w:after="120"/>
    </w:pPr>
    <w:rPr>
      <w:rFonts w:ascii="Times New Roman" w:hAnsi="Times New Roman" w:eastAsia="Times New Roman" w:cs="Lohit Devanagari"/>
      <w:i/>
      <w:iCs/>
      <w:sz w:val="24"/>
      <w:szCs w:val="24"/>
    </w:rPr>
  </w:style>
  <w:style w:type="paragraph" w:styleId="NormalWeb">
    <w:name w:val="Normal (Web)"/>
    <w:basedOn w:val="Standard"/>
    <w:qFormat/>
    <w:pPr>
      <w:spacing w:lineRule="auto" w:line="240" w:before="280" w:after="280"/>
    </w:pPr>
    <w:rPr>
      <w:rFonts w:ascii="Times New Roman" w:hAnsi="Times New Roman" w:eastAsia="Times New Roman"/>
      <w:sz w:val="24"/>
      <w:szCs w:val="24"/>
      <w:lang w:val="ru-RU" w:eastAsia="zh-CN"/>
    </w:rPr>
  </w:style>
  <w:style w:type="paragraph" w:styleId="ListParagraph">
    <w:name w:val="List Paragraph"/>
    <w:basedOn w:val="Standard"/>
    <w:qFormat/>
    <w:pPr>
      <w:ind w:left="720" w:hanging="0"/>
    </w:pPr>
    <w:rPr/>
  </w:style>
  <w:style w:type="paragraph" w:styleId="Default" w:customStyle="1">
    <w:name w:val="Default"/>
    <w:qFormat/>
    <w:pPr>
      <w:widowControl/>
      <w:suppressAutoHyphens w:val="true"/>
      <w:bidi w:val="0"/>
      <w:spacing w:before="0" w:after="0"/>
      <w:jc w:val="left"/>
      <w:textAlignment w:val="baseline"/>
    </w:pPr>
    <w:rPr>
      <w:rFonts w:ascii="Times New Roman" w:hAnsi="Times New Roman" w:eastAsia="Times New Roman" w:cs="Times New Roman"/>
      <w:color w:val="000000"/>
      <w:kern w:val="0"/>
      <w:sz w:val="24"/>
      <w:szCs w:val="24"/>
      <w:lang w:val="ru-RU" w:eastAsia="en-US" w:bidi="ar-SA"/>
    </w:rPr>
  </w:style>
  <w:style w:type="paragraph" w:styleId="1" w:customStyle="1">
    <w:name w:val="Обычный1"/>
    <w:qFormat/>
    <w:pPr>
      <w:widowControl/>
      <w:suppressAutoHyphens w:val="true"/>
      <w:bidi w:val="0"/>
      <w:spacing w:lineRule="auto" w:line="276" w:before="0" w:after="0"/>
      <w:jc w:val="left"/>
      <w:textAlignment w:val="baseline"/>
    </w:pPr>
    <w:rPr>
      <w:rFonts w:ascii="Arial" w:hAnsi="Arial" w:eastAsia="Times New Roman" w:cs="Arial"/>
      <w:color w:val="auto"/>
      <w:kern w:val="0"/>
      <w:sz w:val="22"/>
      <w:szCs w:val="22"/>
      <w:lang w:eastAsia="uk-UA" w:val="ru-RU" w:bidi="ar-SA"/>
    </w:rPr>
  </w:style>
  <w:style w:type="paragraph" w:styleId="Style26" w:customStyle="1">
    <w:name w:val="Верхний и нижний колонтитулы"/>
    <w:basedOn w:val="Standard"/>
    <w:qFormat/>
    <w:pPr/>
    <w:rPr/>
  </w:style>
  <w:style w:type="paragraph" w:styleId="Style27">
    <w:name w:val="Header"/>
    <w:basedOn w:val="Style26"/>
    <w:pPr>
      <w:suppressLineNumbers/>
      <w:tabs>
        <w:tab w:val="clear" w:pos="708"/>
        <w:tab w:val="center" w:pos="4819" w:leader="none"/>
        <w:tab w:val="right" w:pos="9638" w:leader="none"/>
      </w:tabs>
    </w:pPr>
    <w:rPr/>
  </w:style>
  <w:style w:type="paragraph" w:styleId="Style28">
    <w:name w:val="Footer"/>
    <w:basedOn w:val="Standard"/>
    <w:pPr>
      <w:tabs>
        <w:tab w:val="clear" w:pos="708"/>
        <w:tab w:val="center" w:pos="4819" w:leader="none"/>
        <w:tab w:val="right" w:pos="9639" w:leader="none"/>
      </w:tabs>
      <w:spacing w:lineRule="auto" w:line="240" w:before="0" w:after="0"/>
    </w:pPr>
    <w:rPr/>
  </w:style>
  <w:style w:type="paragraph" w:styleId="Style29" w:customStyle="1">
    <w:name w:val="Содержимое таблицы"/>
    <w:basedOn w:val="Standard"/>
    <w:qFormat/>
    <w:pPr>
      <w:suppressLineNumbers/>
    </w:pPr>
    <w:rPr/>
  </w:style>
  <w:style w:type="paragraph" w:styleId="11" w:customStyle="1">
    <w:name w:val="Основной текст1"/>
    <w:basedOn w:val="Standard"/>
    <w:qFormat/>
    <w:pPr>
      <w:widowControl w:val="false"/>
      <w:spacing w:lineRule="auto" w:line="276"/>
      <w:ind w:firstLine="400"/>
    </w:pPr>
    <w:rPr>
      <w:sz w:val="28"/>
      <w:szCs w:val="28"/>
      <w:lang w:val="uk-UA"/>
    </w:rPr>
  </w:style>
  <w:style w:type="paragraph" w:styleId="Style30" w:customStyle="1">
    <w:name w:val="Заголовок таблицы"/>
    <w:basedOn w:val="Style29"/>
    <w:qFormat/>
    <w:pPr>
      <w:jc w:val="center"/>
    </w:pPr>
    <w:rPr>
      <w:b/>
      <w:bCs/>
    </w:rPr>
  </w:style>
  <w:style w:type="numbering" w:styleId="NoList" w:customStyle="1">
    <w:name w:val="No List"/>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mozdocs.kiev.ua/" TargetMode="External"/><Relationship Id="rId3" Type="http://schemas.openxmlformats.org/officeDocument/2006/relationships/hyperlink" Target="http://moz.gov.ua/" TargetMode="External"/><Relationship Id="rId4" Type="http://schemas.openxmlformats.org/officeDocument/2006/relationships/hyperlink" Target="https://www.cprguidelines.eu/" TargetMode="External"/><Relationship Id="rId5" Type="http://schemas.openxmlformats.org/officeDocument/2006/relationships/hyperlink" Target="https://www.c-tecc.org/our-work/guidance" TargetMode="External"/><Relationship Id="rId6" Type="http://schemas.openxmlformats.org/officeDocument/2006/relationships/hyperlink" Target="https://gmka.org/uk/category/dlya-medykiv/nevidkladna-hirugiya/" TargetMode="External"/><Relationship Id="rId7" Type="http://schemas.openxmlformats.org/officeDocument/2006/relationships/hyperlink" Target="http://www.ama-assn.org/" TargetMode="External"/><Relationship Id="rId8" Type="http://schemas.openxmlformats.org/officeDocument/2006/relationships/hyperlink" Target="http://www.nbuv.gov.ua/" TargetMode="External"/><Relationship Id="rId9" Type="http://schemas.openxmlformats.org/officeDocument/2006/relationships/hyperlink" Target="http://www.who.int/" TargetMode="External"/><Relationship Id="rId10" Type="http://schemas.openxmlformats.org/officeDocument/2006/relationships/hyperlink" Target="http://www.dec.gov.ua/mtd/home/" TargetMode="External"/><Relationship Id="rId11" Type="http://schemas.openxmlformats.org/officeDocument/2006/relationships/hyperlink" Target="http://bma.org.uk/" TargetMode="External"/><Relationship Id="rId12" Type="http://schemas.openxmlformats.org/officeDocument/2006/relationships/hyperlink" Target="http://www.gmc-uk.org/" TargetMode="External"/><Relationship Id="rId13" Type="http://schemas.openxmlformats.org/officeDocument/2006/relationships/hyperlink" Target="http://www.gmc-uk.org/" TargetMode="External"/><Relationship Id="rId14" Type="http://schemas.openxmlformats.org/officeDocument/2006/relationships/hyperlink" Target="http://www.gmc-uk.org/" TargetMode="External"/><Relationship Id="rId15" Type="http://schemas.openxmlformats.org/officeDocument/2006/relationships/hyperlink" Target="http://www.bundesaerztekammer.de/" TargetMode="External"/><Relationship Id="rId16" Type="http://schemas.openxmlformats.org/officeDocument/2006/relationships/header" Target="header1.xml"/><Relationship Id="rId17" Type="http://schemas.openxmlformats.org/officeDocument/2006/relationships/numbering" Target="numbering.xml"/><Relationship Id="rId18" Type="http://schemas.openxmlformats.org/officeDocument/2006/relationships/fontTable" Target="fontTable.xml"/><Relationship Id="rId19" Type="http://schemas.openxmlformats.org/officeDocument/2006/relationships/settings" Target="settings.xml"/><Relationship Id="rId20" Type="http://schemas.openxmlformats.org/officeDocument/2006/relationships/theme" Target="theme/theme1.xml"/>
</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729</TotalTime>
  <Application>LibreOffice/6.4.7.2$Linux_X86_64 LibreOffice_project/40$Build-2</Application>
  <Pages>11</Pages>
  <Words>3698</Words>
  <Characters>26587</Characters>
  <CharactersWithSpaces>30043</CharactersWithSpaces>
  <Paragraphs>223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2022-09-08T18:45:00Z</dcterms:created>
  <dc:creator>Пользователь Windows</dc:creator>
  <dc:description/>
  <dc:language>uk-UA</dc:language>
  <cp:lastModifiedBy/>
  <cp:lastPrinted>2022-10-13T06:21:00Z</cp:lastPrinted>
  <dcterms:modified xsi:type="dcterms:W3CDTF">2025-04-01T10:26:56Z</dcterms:modified>
  <cp:revision>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