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29B" w:rsidRPr="003A03B2" w:rsidRDefault="001A029B" w:rsidP="001A029B">
      <w:pPr>
        <w:spacing w:after="11" w:line="250" w:lineRule="auto"/>
        <w:ind w:left="10" w:right="152" w:hanging="10"/>
        <w:jc w:val="center"/>
        <w:rPr>
          <w:rFonts w:ascii="Times New Roman" w:hAnsi="Times New Roman" w:cs="Times New Roman"/>
          <w:sz w:val="24"/>
          <w:szCs w:val="24"/>
        </w:rPr>
      </w:pPr>
      <w:r w:rsidRPr="003A03B2">
        <w:rPr>
          <w:rFonts w:ascii="Times New Roman" w:eastAsia="Times New Roman" w:hAnsi="Times New Roman" w:cs="Times New Roman"/>
          <w:b/>
          <w:sz w:val="24"/>
          <w:szCs w:val="24"/>
        </w:rPr>
        <w:t xml:space="preserve">МІНІСТЕРСТВО ОХОРОНИ ЗДОРОВ’Я УКРАЇНИ </w:t>
      </w:r>
    </w:p>
    <w:p w:rsidR="001A029B" w:rsidRPr="003A03B2" w:rsidRDefault="001A029B" w:rsidP="001A029B">
      <w:pPr>
        <w:spacing w:after="27"/>
        <w:ind w:right="87"/>
        <w:jc w:val="center"/>
        <w:rPr>
          <w:rFonts w:ascii="Times New Roman" w:hAnsi="Times New Roman" w:cs="Times New Roman"/>
          <w:sz w:val="24"/>
          <w:szCs w:val="24"/>
        </w:rPr>
      </w:pPr>
      <w:r w:rsidRPr="003A03B2">
        <w:rPr>
          <w:rFonts w:ascii="Times New Roman" w:eastAsia="Times New Roman" w:hAnsi="Times New Roman" w:cs="Times New Roman"/>
          <w:b/>
          <w:sz w:val="24"/>
          <w:szCs w:val="24"/>
        </w:rPr>
        <w:t xml:space="preserve"> </w:t>
      </w:r>
    </w:p>
    <w:p w:rsidR="001A029B" w:rsidRPr="003A03B2" w:rsidRDefault="001A029B" w:rsidP="001A029B">
      <w:pPr>
        <w:pStyle w:val="2"/>
        <w:ind w:right="149"/>
        <w:rPr>
          <w:szCs w:val="24"/>
        </w:rPr>
      </w:pPr>
      <w:r w:rsidRPr="003A03B2">
        <w:rPr>
          <w:szCs w:val="24"/>
        </w:rPr>
        <w:t xml:space="preserve">ОДЕСЬКИЙ НАЦІОНАЛЬНИЙ МЕДИЧНИЙ УНІВЕРСИТЕТ </w:t>
      </w:r>
    </w:p>
    <w:p w:rsidR="001A029B" w:rsidRPr="003A03B2" w:rsidRDefault="001A029B" w:rsidP="001A029B">
      <w:pPr>
        <w:rPr>
          <w:rFonts w:ascii="Times New Roman" w:hAnsi="Times New Roman" w:cs="Times New Roman"/>
          <w:sz w:val="24"/>
          <w:szCs w:val="24"/>
        </w:rPr>
      </w:pPr>
    </w:p>
    <w:p w:rsidR="001A029B" w:rsidRPr="003A03B2" w:rsidRDefault="001A029B" w:rsidP="001A029B">
      <w:pPr>
        <w:spacing w:after="0"/>
        <w:ind w:right="87"/>
        <w:jc w:val="center"/>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5" w:line="269" w:lineRule="auto"/>
        <w:ind w:left="3634" w:hanging="3649"/>
        <w:jc w:val="both"/>
        <w:rPr>
          <w:rFonts w:ascii="Times New Roman" w:hAnsi="Times New Roman" w:cs="Times New Roman"/>
          <w:i/>
          <w:sz w:val="24"/>
          <w:szCs w:val="24"/>
        </w:rPr>
      </w:pPr>
      <w:r w:rsidRPr="003A03B2">
        <w:rPr>
          <w:rFonts w:ascii="Times New Roman" w:eastAsia="Times New Roman" w:hAnsi="Times New Roman" w:cs="Times New Roman"/>
          <w:b/>
          <w:sz w:val="24"/>
          <w:szCs w:val="24"/>
        </w:rPr>
        <w:t>Факультет</w:t>
      </w:r>
      <w:r w:rsidRPr="003A03B2">
        <w:rPr>
          <w:rFonts w:ascii="Times New Roman" w:eastAsia="Times New Roman" w:hAnsi="Times New Roman" w:cs="Times New Roman"/>
          <w:sz w:val="24"/>
          <w:szCs w:val="24"/>
        </w:rPr>
        <w:t xml:space="preserve">  Фармацевтичний </w:t>
      </w:r>
    </w:p>
    <w:p w:rsidR="001A029B" w:rsidRPr="003A03B2" w:rsidRDefault="001A029B" w:rsidP="001A029B">
      <w:pPr>
        <w:spacing w:after="5" w:line="269" w:lineRule="auto"/>
        <w:ind w:left="3840" w:hanging="3855"/>
        <w:jc w:val="both"/>
        <w:rPr>
          <w:rFonts w:ascii="Times New Roman" w:hAnsi="Times New Roman" w:cs="Times New Roman"/>
          <w:sz w:val="24"/>
          <w:szCs w:val="24"/>
        </w:rPr>
      </w:pPr>
      <w:r w:rsidRPr="003A03B2">
        <w:rPr>
          <w:rFonts w:ascii="Times New Roman" w:eastAsia="Times New Roman" w:hAnsi="Times New Roman" w:cs="Times New Roman"/>
          <w:b/>
          <w:sz w:val="24"/>
          <w:szCs w:val="24"/>
        </w:rPr>
        <w:t>Кафедра</w:t>
      </w:r>
      <w:r w:rsidRPr="003A03B2">
        <w:rPr>
          <w:rFonts w:ascii="Times New Roman" w:eastAsia="Times New Roman" w:hAnsi="Times New Roman" w:cs="Times New Roman"/>
          <w:sz w:val="24"/>
          <w:szCs w:val="24"/>
        </w:rPr>
        <w:t xml:space="preserve">      Організації та економіки фармації з післядипломною підготовкою</w:t>
      </w: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hAnsi="Times New Roman" w:cs="Times New Roman"/>
          <w:sz w:val="24"/>
          <w:szCs w:val="24"/>
        </w:rPr>
      </w:pPr>
    </w:p>
    <w:p w:rsidR="001A029B" w:rsidRPr="003A03B2" w:rsidRDefault="001A029B" w:rsidP="001A029B">
      <w:pPr>
        <w:spacing w:after="24"/>
        <w:ind w:left="1997"/>
        <w:jc w:val="center"/>
        <w:rPr>
          <w:rFonts w:ascii="Times New Roman" w:hAnsi="Times New Roman" w:cs="Times New Roman"/>
          <w:sz w:val="24"/>
          <w:szCs w:val="24"/>
        </w:rPr>
      </w:pPr>
      <w:r w:rsidRPr="003A03B2">
        <w:rPr>
          <w:rFonts w:ascii="Times New Roman" w:eastAsia="Times New Roman" w:hAnsi="Times New Roman" w:cs="Times New Roman"/>
          <w:b/>
          <w:sz w:val="24"/>
          <w:szCs w:val="24"/>
        </w:rPr>
        <w:t xml:space="preserve"> </w:t>
      </w:r>
    </w:p>
    <w:p w:rsidR="001A029B" w:rsidRPr="003A03B2" w:rsidRDefault="001A029B" w:rsidP="00281FDB">
      <w:pPr>
        <w:pStyle w:val="2"/>
        <w:tabs>
          <w:tab w:val="center" w:pos="5614"/>
        </w:tabs>
        <w:spacing w:after="15" w:line="249" w:lineRule="auto"/>
        <w:ind w:left="-15"/>
        <w:jc w:val="right"/>
        <w:rPr>
          <w:szCs w:val="24"/>
        </w:rPr>
      </w:pPr>
      <w:r w:rsidRPr="003A03B2">
        <w:rPr>
          <w:szCs w:val="24"/>
        </w:rPr>
        <w:t xml:space="preserve"> </w:t>
      </w:r>
      <w:r w:rsidRPr="003A03B2">
        <w:rPr>
          <w:szCs w:val="24"/>
        </w:rPr>
        <w:tab/>
      </w:r>
      <w:r w:rsidR="00281FDB">
        <w:rPr>
          <w:noProof/>
          <w:szCs w:val="24"/>
        </w:rPr>
        <w:drawing>
          <wp:inline distT="0" distB="0" distL="0" distR="0">
            <wp:extent cx="3120189" cy="1243263"/>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0115" cy="1243234"/>
                    </a:xfrm>
                    <a:prstGeom prst="rect">
                      <a:avLst/>
                    </a:prstGeom>
                    <a:noFill/>
                    <a:ln>
                      <a:noFill/>
                    </a:ln>
                  </pic:spPr>
                </pic:pic>
              </a:graphicData>
            </a:graphic>
          </wp:inline>
        </w:drawing>
      </w:r>
      <w:r w:rsidRPr="003A03B2">
        <w:rPr>
          <w:szCs w:val="24"/>
        </w:rPr>
        <w:t xml:space="preserve"> </w:t>
      </w: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eastAsia="Times New Roman" w:hAnsi="Times New Roman" w:cs="Times New Roman"/>
          <w:b/>
          <w:sz w:val="24"/>
          <w:szCs w:val="24"/>
        </w:rPr>
      </w:pPr>
    </w:p>
    <w:p w:rsidR="001A029B" w:rsidRPr="003A03B2" w:rsidRDefault="001A029B" w:rsidP="001A029B">
      <w:pPr>
        <w:spacing w:after="0"/>
        <w:ind w:right="87"/>
        <w:jc w:val="center"/>
        <w:rPr>
          <w:rFonts w:ascii="Times New Roman" w:hAnsi="Times New Roman" w:cs="Times New Roman"/>
          <w:sz w:val="24"/>
          <w:szCs w:val="24"/>
        </w:rPr>
      </w:pPr>
      <w:r w:rsidRPr="003A03B2">
        <w:rPr>
          <w:rFonts w:ascii="Times New Roman" w:eastAsia="Times New Roman" w:hAnsi="Times New Roman" w:cs="Times New Roman"/>
          <w:b/>
          <w:sz w:val="24"/>
          <w:szCs w:val="24"/>
        </w:rPr>
        <w:t xml:space="preserve"> </w:t>
      </w:r>
    </w:p>
    <w:p w:rsidR="001A029B" w:rsidRPr="003A03B2" w:rsidRDefault="001A029B" w:rsidP="001A029B">
      <w:pPr>
        <w:pStyle w:val="2"/>
        <w:ind w:right="147"/>
        <w:rPr>
          <w:rFonts w:eastAsia="Calibri"/>
          <w:szCs w:val="24"/>
        </w:rPr>
      </w:pPr>
      <w:r w:rsidRPr="003A03B2">
        <w:rPr>
          <w:szCs w:val="24"/>
        </w:rPr>
        <w:t>МЕТОДИЧНА РОЗРОБКА</w:t>
      </w:r>
      <w:r w:rsidRPr="003A03B2">
        <w:rPr>
          <w:rFonts w:eastAsia="Calibri"/>
          <w:szCs w:val="24"/>
        </w:rPr>
        <w:t xml:space="preserve"> </w:t>
      </w:r>
    </w:p>
    <w:p w:rsidR="001A029B" w:rsidRPr="003A03B2" w:rsidRDefault="001A029B" w:rsidP="001A029B">
      <w:pPr>
        <w:pStyle w:val="2"/>
        <w:ind w:right="147"/>
        <w:rPr>
          <w:szCs w:val="24"/>
        </w:rPr>
      </w:pPr>
      <w:r w:rsidRPr="003A03B2">
        <w:rPr>
          <w:szCs w:val="24"/>
        </w:rPr>
        <w:t xml:space="preserve">ДО ЛЕКЦІЙ З НАВЧАЛЬНОЇ ДИСЦИПЛІНИ </w:t>
      </w:r>
    </w:p>
    <w:p w:rsidR="001A029B" w:rsidRPr="003A03B2" w:rsidRDefault="001A029B" w:rsidP="001A029B">
      <w:pPr>
        <w:spacing w:after="22"/>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5" w:line="269" w:lineRule="auto"/>
        <w:ind w:left="-5" w:right="138" w:hanging="10"/>
        <w:jc w:val="both"/>
        <w:rPr>
          <w:rFonts w:ascii="Times New Roman" w:hAnsi="Times New Roman" w:cs="Times New Roman"/>
          <w:sz w:val="24"/>
          <w:szCs w:val="24"/>
          <w:lang w:val="uk-UA"/>
        </w:rPr>
      </w:pPr>
      <w:r w:rsidRPr="003A03B2">
        <w:rPr>
          <w:rFonts w:ascii="Times New Roman" w:eastAsia="Times New Roman" w:hAnsi="Times New Roman" w:cs="Times New Roman"/>
          <w:b/>
          <w:sz w:val="24"/>
          <w:szCs w:val="24"/>
        </w:rPr>
        <w:t>Факультет, курс</w:t>
      </w:r>
      <w:r w:rsidRPr="003A03B2">
        <w:rPr>
          <w:rFonts w:ascii="Times New Roman" w:eastAsia="Times New Roman" w:hAnsi="Times New Roman" w:cs="Times New Roman"/>
          <w:sz w:val="24"/>
          <w:szCs w:val="24"/>
        </w:rPr>
        <w:t xml:space="preserve">        Фармацевтичний, 4 курс</w:t>
      </w:r>
    </w:p>
    <w:p w:rsidR="001A029B" w:rsidRPr="003A03B2" w:rsidRDefault="001A029B" w:rsidP="001A029B">
      <w:pPr>
        <w:spacing w:after="0"/>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5" w:line="269" w:lineRule="auto"/>
        <w:ind w:left="3137" w:right="138" w:hanging="3152"/>
        <w:jc w:val="both"/>
        <w:rPr>
          <w:rFonts w:ascii="Times New Roman" w:eastAsia="Times New Roman" w:hAnsi="Times New Roman" w:cs="Times New Roman"/>
          <w:sz w:val="24"/>
          <w:szCs w:val="24"/>
          <w:lang w:val="uk-UA"/>
        </w:rPr>
      </w:pPr>
      <w:r w:rsidRPr="003A03B2">
        <w:rPr>
          <w:rFonts w:ascii="Times New Roman" w:eastAsia="Times New Roman" w:hAnsi="Times New Roman" w:cs="Times New Roman"/>
          <w:b/>
          <w:sz w:val="24"/>
          <w:szCs w:val="24"/>
        </w:rPr>
        <w:t xml:space="preserve">Навчальна дисципліна </w:t>
      </w:r>
      <w:r w:rsidR="00956B42">
        <w:rPr>
          <w:rFonts w:ascii="Times New Roman" w:eastAsia="Times New Roman" w:hAnsi="Times New Roman" w:cs="Times New Roman"/>
          <w:b/>
          <w:sz w:val="24"/>
          <w:szCs w:val="24"/>
          <w:lang w:val="uk-UA"/>
        </w:rPr>
        <w:t xml:space="preserve">  </w:t>
      </w:r>
      <w:r w:rsidRPr="003A03B2">
        <w:rPr>
          <w:rFonts w:ascii="Times New Roman" w:eastAsia="Times New Roman" w:hAnsi="Times New Roman" w:cs="Times New Roman"/>
          <w:sz w:val="24"/>
          <w:szCs w:val="24"/>
          <w:lang w:val="uk-UA"/>
        </w:rPr>
        <w:t>Соціальна фармація</w:t>
      </w:r>
    </w:p>
    <w:p w:rsidR="001A029B" w:rsidRPr="003A03B2" w:rsidRDefault="001A029B" w:rsidP="001A029B">
      <w:pPr>
        <w:spacing w:after="5" w:line="269" w:lineRule="auto"/>
        <w:ind w:left="3137" w:right="138" w:hanging="3152"/>
        <w:jc w:val="both"/>
        <w:rPr>
          <w:rFonts w:ascii="Times New Roman" w:hAnsi="Times New Roman" w:cs="Times New Roman"/>
          <w:sz w:val="24"/>
          <w:szCs w:val="24"/>
        </w:rPr>
      </w:pPr>
      <w:r w:rsidRPr="003A03B2">
        <w:rPr>
          <w:rFonts w:ascii="Times New Roman" w:eastAsia="Times New Roman" w:hAnsi="Times New Roman" w:cs="Times New Roman"/>
          <w:i/>
          <w:sz w:val="24"/>
          <w:szCs w:val="24"/>
        </w:rPr>
        <w:t xml:space="preserve">                                                            </w:t>
      </w:r>
    </w:p>
    <w:p w:rsidR="001A029B" w:rsidRPr="003A03B2" w:rsidRDefault="001A029B" w:rsidP="001A029B">
      <w:pPr>
        <w:spacing w:after="0"/>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25"/>
        <w:rPr>
          <w:rFonts w:ascii="Times New Roman" w:eastAsia="Times New Roman" w:hAnsi="Times New Roman" w:cs="Times New Roman"/>
          <w:b/>
          <w:sz w:val="24"/>
          <w:szCs w:val="24"/>
        </w:rPr>
      </w:pPr>
      <w:r w:rsidRPr="003A03B2">
        <w:rPr>
          <w:rFonts w:ascii="Times New Roman" w:eastAsia="Times New Roman" w:hAnsi="Times New Roman" w:cs="Times New Roman"/>
          <w:b/>
          <w:sz w:val="24"/>
          <w:szCs w:val="24"/>
        </w:rPr>
        <w:t xml:space="preserve"> </w:t>
      </w: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eastAsia="Times New Roman" w:hAnsi="Times New Roman" w:cs="Times New Roman"/>
          <w:b/>
          <w:sz w:val="28"/>
          <w:szCs w:val="28"/>
        </w:rPr>
      </w:pPr>
    </w:p>
    <w:p w:rsidR="001A029B" w:rsidRDefault="001A029B" w:rsidP="001A029B">
      <w:pPr>
        <w:spacing w:after="25"/>
        <w:rPr>
          <w:rFonts w:ascii="Times New Roman" w:eastAsia="Times New Roman" w:hAnsi="Times New Roman" w:cs="Times New Roman"/>
          <w:b/>
          <w:sz w:val="28"/>
          <w:szCs w:val="28"/>
          <w:lang w:val="uk-UA"/>
        </w:rPr>
      </w:pPr>
    </w:p>
    <w:p w:rsidR="003A03B2" w:rsidRDefault="003A03B2" w:rsidP="001A029B">
      <w:pPr>
        <w:spacing w:after="25"/>
        <w:rPr>
          <w:rFonts w:ascii="Times New Roman" w:eastAsia="Times New Roman" w:hAnsi="Times New Roman" w:cs="Times New Roman"/>
          <w:b/>
          <w:sz w:val="28"/>
          <w:szCs w:val="28"/>
          <w:lang w:val="uk-UA"/>
        </w:rPr>
      </w:pPr>
    </w:p>
    <w:p w:rsidR="003A03B2" w:rsidRPr="003A03B2" w:rsidRDefault="003A03B2" w:rsidP="001A029B">
      <w:pPr>
        <w:spacing w:after="25"/>
        <w:rPr>
          <w:rFonts w:ascii="Times New Roman" w:eastAsia="Times New Roman" w:hAnsi="Times New Roman" w:cs="Times New Roman"/>
          <w:b/>
          <w:sz w:val="28"/>
          <w:szCs w:val="28"/>
          <w:lang w:val="uk-UA"/>
        </w:rPr>
      </w:pPr>
    </w:p>
    <w:p w:rsidR="001A029B" w:rsidRPr="00077F09" w:rsidRDefault="001A029B" w:rsidP="001A029B">
      <w:pPr>
        <w:spacing w:after="25"/>
        <w:rPr>
          <w:rFonts w:ascii="Times New Roman" w:eastAsia="Times New Roman" w:hAnsi="Times New Roman" w:cs="Times New Roman"/>
          <w:b/>
          <w:sz w:val="28"/>
          <w:szCs w:val="28"/>
        </w:rPr>
      </w:pPr>
    </w:p>
    <w:p w:rsidR="001A029B" w:rsidRPr="00077F09" w:rsidRDefault="001A029B" w:rsidP="001A029B">
      <w:pPr>
        <w:spacing w:after="25"/>
        <w:rPr>
          <w:rFonts w:ascii="Times New Roman" w:hAnsi="Times New Roman" w:cs="Times New Roman"/>
          <w:sz w:val="28"/>
          <w:szCs w:val="28"/>
        </w:rPr>
      </w:pPr>
    </w:p>
    <w:p w:rsidR="001A029B" w:rsidRPr="003A03B2" w:rsidRDefault="001A029B" w:rsidP="001A029B">
      <w:pPr>
        <w:spacing w:after="15" w:line="249" w:lineRule="auto"/>
        <w:ind w:left="-5" w:hanging="10"/>
        <w:rPr>
          <w:rFonts w:ascii="Times New Roman" w:hAnsi="Times New Roman" w:cs="Times New Roman"/>
          <w:sz w:val="24"/>
          <w:szCs w:val="24"/>
        </w:rPr>
      </w:pPr>
      <w:r w:rsidRPr="003A03B2">
        <w:rPr>
          <w:rFonts w:ascii="Times New Roman" w:eastAsia="Times New Roman" w:hAnsi="Times New Roman" w:cs="Times New Roman"/>
          <w:b/>
          <w:sz w:val="24"/>
          <w:szCs w:val="24"/>
        </w:rPr>
        <w:t xml:space="preserve">Затверджено: </w:t>
      </w:r>
    </w:p>
    <w:p w:rsidR="001A029B" w:rsidRPr="003A03B2" w:rsidRDefault="001A029B" w:rsidP="001A029B">
      <w:pPr>
        <w:spacing w:after="5" w:line="269" w:lineRule="auto"/>
        <w:ind w:left="-5" w:right="138" w:hanging="10"/>
        <w:jc w:val="both"/>
        <w:rPr>
          <w:rFonts w:ascii="Times New Roman" w:hAnsi="Times New Roman" w:cs="Times New Roman"/>
          <w:sz w:val="24"/>
          <w:szCs w:val="24"/>
        </w:rPr>
      </w:pPr>
      <w:r w:rsidRPr="003A03B2">
        <w:rPr>
          <w:rFonts w:ascii="Times New Roman" w:eastAsia="Times New Roman" w:hAnsi="Times New Roman" w:cs="Times New Roman"/>
          <w:sz w:val="24"/>
          <w:szCs w:val="24"/>
        </w:rPr>
        <w:t>Засіданням кафедри Організації та економіки фармації з післядипломною підготовкою</w:t>
      </w:r>
    </w:p>
    <w:p w:rsidR="001A029B" w:rsidRPr="003A03B2" w:rsidRDefault="001A029B" w:rsidP="001A029B">
      <w:pPr>
        <w:spacing w:after="5" w:line="269" w:lineRule="auto"/>
        <w:ind w:left="-5" w:right="138" w:hanging="10"/>
        <w:jc w:val="both"/>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Одеського національного медичного університету </w:t>
      </w:r>
    </w:p>
    <w:p w:rsidR="001A029B" w:rsidRPr="003A03B2" w:rsidRDefault="001A029B" w:rsidP="001A029B">
      <w:pPr>
        <w:spacing w:after="22"/>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5" w:line="269" w:lineRule="auto"/>
        <w:ind w:left="-5" w:right="138" w:hanging="10"/>
        <w:jc w:val="both"/>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Протокол № 1 від “04” вересня 2023 р. </w:t>
      </w:r>
    </w:p>
    <w:p w:rsidR="001A029B" w:rsidRPr="003A03B2" w:rsidRDefault="001A029B" w:rsidP="001A029B">
      <w:pPr>
        <w:spacing w:after="4"/>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5" w:line="269" w:lineRule="auto"/>
        <w:ind w:left="-5" w:right="138" w:hanging="10"/>
        <w:jc w:val="both"/>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Завідувач кафедри, к. фарм.н., доц </w:t>
      </w:r>
      <w:bookmarkStart w:id="0" w:name="_Hlk158024892"/>
      <w:r w:rsidRPr="003A03B2">
        <w:rPr>
          <w:rFonts w:ascii="Times New Roman" w:eastAsia="Times New Roman" w:hAnsi="Times New Roman" w:cs="Times New Roman"/>
          <w:noProof/>
          <w:sz w:val="24"/>
          <w:szCs w:val="24"/>
        </w:rPr>
        <w:t xml:space="preserve">    </w:t>
      </w:r>
      <w:r w:rsidRPr="003A03B2">
        <w:rPr>
          <w:noProof/>
          <w:sz w:val="24"/>
          <w:szCs w:val="24"/>
          <w:u w:val="single"/>
          <w:lang w:val="uk-UA" w:eastAsia="uk-UA"/>
        </w:rPr>
        <w:drawing>
          <wp:inline distT="0" distB="0" distL="0" distR="0" wp14:anchorId="6EBB678B" wp14:editId="268043F9">
            <wp:extent cx="946150" cy="413385"/>
            <wp:effectExtent l="0" t="0" r="635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0"/>
      <w:r w:rsidRPr="003A03B2">
        <w:rPr>
          <w:rFonts w:ascii="Times New Roman" w:eastAsia="Times New Roman" w:hAnsi="Times New Roman" w:cs="Times New Roman"/>
          <w:sz w:val="24"/>
          <w:szCs w:val="24"/>
        </w:rPr>
        <w:t xml:space="preserve">             Оксана БЄЛЯЄВА</w:t>
      </w:r>
    </w:p>
    <w:p w:rsidR="001A029B" w:rsidRPr="003A03B2" w:rsidRDefault="001A029B" w:rsidP="001A029B">
      <w:pPr>
        <w:spacing w:after="5" w:line="269" w:lineRule="auto"/>
        <w:ind w:left="-5" w:right="138" w:hanging="10"/>
        <w:jc w:val="both"/>
        <w:rPr>
          <w:rFonts w:ascii="Times New Roman" w:hAnsi="Times New Roman" w:cs="Times New Roman"/>
          <w:sz w:val="24"/>
          <w:szCs w:val="24"/>
        </w:rPr>
      </w:pPr>
      <w:r w:rsidRPr="003A03B2">
        <w:rPr>
          <w:rFonts w:ascii="Times New Roman" w:eastAsia="Times New Roman" w:hAnsi="Times New Roman" w:cs="Times New Roman"/>
          <w:i/>
          <w:sz w:val="24"/>
          <w:szCs w:val="24"/>
        </w:rPr>
        <w:t xml:space="preserve">                                                                  (підпис)                   (Ім’я ПРІЗВИЩЕ) </w:t>
      </w:r>
    </w:p>
    <w:p w:rsidR="001A029B" w:rsidRPr="003A03B2" w:rsidRDefault="001A029B" w:rsidP="001A029B">
      <w:pPr>
        <w:spacing w:after="30"/>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Default="001A029B" w:rsidP="001A029B">
      <w:pPr>
        <w:spacing w:after="15" w:line="249" w:lineRule="auto"/>
        <w:ind w:left="-5" w:hanging="10"/>
        <w:rPr>
          <w:rFonts w:ascii="Times New Roman" w:eastAsia="Times New Roman" w:hAnsi="Times New Roman" w:cs="Times New Roman"/>
          <w:b/>
          <w:sz w:val="24"/>
          <w:szCs w:val="24"/>
          <w:lang w:val="uk-UA"/>
        </w:rPr>
      </w:pPr>
      <w:r w:rsidRPr="003A03B2">
        <w:rPr>
          <w:rFonts w:ascii="Times New Roman" w:eastAsia="Times New Roman" w:hAnsi="Times New Roman" w:cs="Times New Roman"/>
          <w:b/>
          <w:sz w:val="24"/>
          <w:szCs w:val="24"/>
        </w:rPr>
        <w:t xml:space="preserve">Розробники:  </w:t>
      </w:r>
    </w:p>
    <w:p w:rsidR="00281FDB" w:rsidRPr="00281FDB" w:rsidRDefault="00281FDB" w:rsidP="00281FDB">
      <w:pPr>
        <w:spacing w:after="15" w:line="249" w:lineRule="auto"/>
        <w:ind w:left="-5" w:hanging="10"/>
        <w:rPr>
          <w:rFonts w:ascii="Times New Roman" w:hAnsi="Times New Roman" w:cs="Times New Roman"/>
          <w:sz w:val="24"/>
          <w:szCs w:val="24"/>
          <w:lang w:val="uk-UA"/>
        </w:rPr>
      </w:pPr>
      <w:r w:rsidRPr="00281FDB">
        <w:rPr>
          <w:rFonts w:ascii="Times New Roman" w:hAnsi="Times New Roman" w:cs="Times New Roman"/>
          <w:sz w:val="24"/>
          <w:szCs w:val="24"/>
          <w:lang w:val="uk-UA"/>
        </w:rPr>
        <w:t>д.фарм.н., проф. Ліана УНГУРЯН</w:t>
      </w:r>
    </w:p>
    <w:p w:rsidR="00281FDB" w:rsidRPr="00281FDB" w:rsidRDefault="00281FDB" w:rsidP="00281FDB">
      <w:pPr>
        <w:spacing w:after="15" w:line="249" w:lineRule="auto"/>
        <w:ind w:left="-5" w:hanging="10"/>
        <w:rPr>
          <w:rFonts w:ascii="Times New Roman" w:hAnsi="Times New Roman" w:cs="Times New Roman"/>
          <w:sz w:val="24"/>
          <w:szCs w:val="24"/>
          <w:lang w:val="uk-UA"/>
        </w:rPr>
      </w:pPr>
      <w:r w:rsidRPr="00281FDB">
        <w:rPr>
          <w:rFonts w:ascii="Times New Roman" w:hAnsi="Times New Roman" w:cs="Times New Roman"/>
          <w:sz w:val="24"/>
          <w:szCs w:val="24"/>
          <w:lang w:val="uk-UA"/>
        </w:rPr>
        <w:t>к.фарм.н., доц. Оксана БЄЛЯЄВА</w:t>
      </w:r>
    </w:p>
    <w:p w:rsidR="001A029B" w:rsidRPr="003A03B2" w:rsidRDefault="00281FDB" w:rsidP="001A029B">
      <w:pPr>
        <w:spacing w:after="5" w:line="269" w:lineRule="auto"/>
        <w:ind w:left="-5" w:right="138" w:hanging="10"/>
        <w:jc w:val="both"/>
        <w:rPr>
          <w:rFonts w:ascii="Times New Roman" w:hAnsi="Times New Roman" w:cs="Times New Roman"/>
          <w:sz w:val="24"/>
          <w:szCs w:val="24"/>
        </w:rPr>
      </w:pPr>
      <w:r>
        <w:rPr>
          <w:rFonts w:ascii="Times New Roman" w:eastAsia="Times New Roman" w:hAnsi="Times New Roman" w:cs="Times New Roman"/>
          <w:sz w:val="24"/>
          <w:szCs w:val="24"/>
          <w:lang w:val="uk-UA"/>
        </w:rPr>
        <w:t>ст.викл.</w:t>
      </w:r>
      <w:r w:rsidR="001A029B" w:rsidRPr="003A03B2">
        <w:rPr>
          <w:rFonts w:ascii="Times New Roman" w:eastAsia="Times New Roman" w:hAnsi="Times New Roman" w:cs="Times New Roman"/>
          <w:sz w:val="24"/>
          <w:szCs w:val="24"/>
        </w:rPr>
        <w:t xml:space="preserve"> </w:t>
      </w:r>
      <w:r w:rsidR="001A029B" w:rsidRPr="003A03B2">
        <w:rPr>
          <w:rFonts w:ascii="Times New Roman" w:eastAsia="Times New Roman" w:hAnsi="Times New Roman" w:cs="Times New Roman"/>
          <w:sz w:val="24"/>
          <w:szCs w:val="24"/>
          <w:lang w:val="uk-UA"/>
        </w:rPr>
        <w:t>Майя Образенко</w:t>
      </w:r>
      <w:r w:rsidR="001A029B" w:rsidRPr="003A03B2">
        <w:rPr>
          <w:rFonts w:ascii="Times New Roman" w:eastAsia="Times New Roman" w:hAnsi="Times New Roman" w:cs="Times New Roman"/>
          <w:sz w:val="24"/>
          <w:szCs w:val="24"/>
        </w:rPr>
        <w:t xml:space="preserve"> </w:t>
      </w:r>
    </w:p>
    <w:p w:rsidR="001A029B" w:rsidRPr="003A03B2" w:rsidRDefault="001A029B" w:rsidP="001A029B">
      <w:pPr>
        <w:spacing w:after="0"/>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0"/>
        <w:rPr>
          <w:rFonts w:ascii="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2"/>
        <w:rPr>
          <w:rFonts w:ascii="Times New Roman" w:eastAsia="Times New Roman" w:hAnsi="Times New Roman" w:cs="Times New Roman"/>
          <w:sz w:val="24"/>
          <w:szCs w:val="24"/>
        </w:rPr>
      </w:pPr>
      <w:r w:rsidRPr="003A03B2">
        <w:rPr>
          <w:rFonts w:ascii="Times New Roman" w:eastAsia="Times New Roman" w:hAnsi="Times New Roman" w:cs="Times New Roman"/>
          <w:sz w:val="24"/>
          <w:szCs w:val="24"/>
        </w:rPr>
        <w:t xml:space="preserve"> </w:t>
      </w:r>
    </w:p>
    <w:p w:rsidR="001A029B" w:rsidRPr="003A03B2" w:rsidRDefault="001A029B" w:rsidP="001A029B">
      <w:pPr>
        <w:spacing w:after="2"/>
        <w:rPr>
          <w:rFonts w:ascii="Times New Roman" w:eastAsia="Times New Roman" w:hAnsi="Times New Roman" w:cs="Times New Roman"/>
          <w:sz w:val="24"/>
          <w:szCs w:val="24"/>
          <w:lang w:val="uk-UA"/>
        </w:rPr>
      </w:pPr>
    </w:p>
    <w:p w:rsidR="001A029B" w:rsidRPr="003A03B2"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1A029B" w:rsidRP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rPr>
      </w:pPr>
    </w:p>
    <w:p w:rsidR="001A029B" w:rsidRDefault="001A029B" w:rsidP="001A029B">
      <w:pPr>
        <w:spacing w:after="2"/>
        <w:rPr>
          <w:rFonts w:ascii="Times New Roman" w:eastAsia="Times New Roman" w:hAnsi="Times New Roman" w:cs="Times New Roman"/>
          <w:sz w:val="24"/>
          <w:szCs w:val="24"/>
          <w:lang w:val="uk-UA"/>
        </w:rPr>
      </w:pPr>
    </w:p>
    <w:p w:rsidR="001A029B" w:rsidRDefault="001A029B" w:rsidP="001A029B">
      <w:pPr>
        <w:spacing w:after="2"/>
        <w:rPr>
          <w:rFonts w:ascii="Times New Roman" w:eastAsia="Times New Roman" w:hAnsi="Times New Roman" w:cs="Times New Roman"/>
          <w:sz w:val="24"/>
          <w:szCs w:val="24"/>
          <w:lang w:val="uk-UA"/>
        </w:rPr>
      </w:pPr>
    </w:p>
    <w:p w:rsidR="003A03B2" w:rsidRDefault="003A03B2" w:rsidP="001A029B">
      <w:pPr>
        <w:spacing w:after="2"/>
        <w:rPr>
          <w:rFonts w:ascii="Times New Roman" w:eastAsia="Times New Roman" w:hAnsi="Times New Roman" w:cs="Times New Roman"/>
          <w:sz w:val="24"/>
          <w:szCs w:val="24"/>
          <w:lang w:val="uk-UA"/>
        </w:rPr>
      </w:pPr>
    </w:p>
    <w:p w:rsidR="003A03B2" w:rsidRDefault="003A03B2" w:rsidP="001A029B">
      <w:pPr>
        <w:spacing w:after="2"/>
        <w:rPr>
          <w:rFonts w:ascii="Times New Roman" w:eastAsia="Times New Roman" w:hAnsi="Times New Roman" w:cs="Times New Roman"/>
          <w:sz w:val="24"/>
          <w:szCs w:val="24"/>
          <w:lang w:val="uk-UA"/>
        </w:rPr>
      </w:pPr>
    </w:p>
    <w:p w:rsidR="003A03B2" w:rsidRDefault="003A03B2" w:rsidP="001A029B">
      <w:pPr>
        <w:spacing w:after="2"/>
        <w:rPr>
          <w:rFonts w:ascii="Times New Roman" w:eastAsia="Times New Roman" w:hAnsi="Times New Roman" w:cs="Times New Roman"/>
          <w:sz w:val="24"/>
          <w:szCs w:val="24"/>
          <w:lang w:val="uk-UA"/>
        </w:rPr>
      </w:pPr>
    </w:p>
    <w:p w:rsidR="003A03B2" w:rsidRDefault="003A03B2" w:rsidP="001A029B">
      <w:pPr>
        <w:spacing w:after="2"/>
        <w:rPr>
          <w:rFonts w:ascii="Times New Roman" w:eastAsia="Times New Roman" w:hAnsi="Times New Roman" w:cs="Times New Roman"/>
          <w:sz w:val="24"/>
          <w:szCs w:val="24"/>
          <w:lang w:val="uk-UA"/>
        </w:rPr>
      </w:pPr>
    </w:p>
    <w:p w:rsidR="003A03B2" w:rsidRDefault="003A03B2" w:rsidP="001A029B">
      <w:pPr>
        <w:spacing w:after="2"/>
        <w:rPr>
          <w:rFonts w:ascii="Times New Roman" w:eastAsia="Times New Roman" w:hAnsi="Times New Roman" w:cs="Times New Roman"/>
          <w:sz w:val="24"/>
          <w:szCs w:val="24"/>
          <w:lang w:val="uk-UA"/>
        </w:rPr>
      </w:pPr>
    </w:p>
    <w:p w:rsidR="001A029B" w:rsidRDefault="001A029B" w:rsidP="0088636D">
      <w:pPr>
        <w:suppressAutoHyphens/>
        <w:spacing w:after="0" w:line="240" w:lineRule="auto"/>
        <w:jc w:val="both"/>
        <w:rPr>
          <w:rFonts w:ascii="Times New Roman" w:eastAsia="Times New Roman" w:hAnsi="Times New Roman" w:cs="Times New Roman"/>
          <w:b/>
          <w:bCs/>
          <w:sz w:val="24"/>
          <w:szCs w:val="24"/>
          <w:lang w:val="uk-UA" w:eastAsia="ar-SA"/>
        </w:rPr>
      </w:pPr>
      <w:r>
        <w:rPr>
          <w:rFonts w:ascii="Times New Roman" w:eastAsia="Times New Roman" w:hAnsi="Times New Roman" w:cs="Times New Roman"/>
          <w:b/>
          <w:bCs/>
          <w:sz w:val="24"/>
          <w:szCs w:val="24"/>
          <w:lang w:val="uk-UA" w:eastAsia="ar-SA"/>
        </w:rPr>
        <w:lastRenderedPageBreak/>
        <w:t>Лекція 1</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val="uk-UA" w:eastAsia="ar-SA"/>
        </w:rPr>
        <w:t>Тема</w:t>
      </w:r>
      <w:r w:rsidR="001A029B">
        <w:rPr>
          <w:rFonts w:ascii="Times New Roman" w:eastAsia="Times New Roman" w:hAnsi="Times New Roman" w:cs="Times New Roman"/>
          <w:b/>
          <w:bCs/>
          <w:sz w:val="24"/>
          <w:szCs w:val="24"/>
          <w:lang w:val="uk-UA" w:eastAsia="ar-SA"/>
        </w:rPr>
        <w:t>:</w:t>
      </w:r>
      <w:r w:rsidRPr="0088636D">
        <w:rPr>
          <w:rFonts w:ascii="Times New Roman" w:eastAsia="Times New Roman" w:hAnsi="Times New Roman" w:cs="Times New Roman"/>
          <w:sz w:val="24"/>
          <w:szCs w:val="24"/>
          <w:lang w:val="uk-UA" w:eastAsia="ar-SA"/>
        </w:rPr>
        <w:t xml:space="preserve"> «Вступ. Соціальна фармація, як навчальна дисципліна. Становлення та розвиток соціальної фармації. Складові оцінки якості медичної та фармацевтичної допомоги»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autoSpaceDE w:val="0"/>
        <w:autoSpaceDN w:val="0"/>
        <w:adjustRightInd w:val="0"/>
        <w:spacing w:after="0" w:line="240" w:lineRule="auto"/>
        <w:jc w:val="both"/>
        <w:rPr>
          <w:rFonts w:ascii="Times New Roman" w:eastAsia="Times New Roman" w:hAnsi="Times New Roman" w:cs="Times New Roman"/>
          <w:color w:val="000000"/>
          <w:spacing w:val="-4"/>
          <w:sz w:val="24"/>
          <w:szCs w:val="24"/>
          <w:lang w:val="uk-UA" w:eastAsia="uk-UA"/>
        </w:rPr>
      </w:pPr>
      <w:r w:rsidRPr="0088636D">
        <w:rPr>
          <w:rFonts w:ascii="Times New Roman" w:eastAsia="Times New Roman" w:hAnsi="Times New Roman" w:cs="Times New Roman"/>
          <w:b/>
          <w:color w:val="000000"/>
          <w:sz w:val="24"/>
          <w:szCs w:val="24"/>
          <w:lang w:val="uk-UA" w:eastAsia="uk-UA"/>
        </w:rPr>
        <w:t>Актуальність теми.</w:t>
      </w:r>
      <w:r w:rsidRPr="0088636D">
        <w:rPr>
          <w:rFonts w:ascii="Times New Roman" w:eastAsia="Times New Roman" w:hAnsi="Times New Roman" w:cs="Times New Roman"/>
          <w:color w:val="000000"/>
          <w:sz w:val="24"/>
          <w:szCs w:val="24"/>
          <w:lang w:val="uk-UA" w:eastAsia="uk-UA"/>
        </w:rPr>
        <w:t xml:space="preserve"> </w:t>
      </w:r>
      <w:r w:rsidRPr="0088636D">
        <w:rPr>
          <w:rFonts w:ascii="Times New Roman" w:eastAsia="Times New Roman" w:hAnsi="Times New Roman" w:cs="Times New Roman"/>
          <w:color w:val="000000"/>
          <w:spacing w:val="-4"/>
          <w:sz w:val="24"/>
          <w:szCs w:val="24"/>
          <w:lang w:val="uk-UA" w:eastAsia="uk-UA"/>
        </w:rPr>
        <w:t>Поява та розвиток соціальної фармації у вітчизняному фармацевтичному секторі галузі ОЗ пов’язана із інтеграцією ОЗ до світового простору, що передбачає формування підходів до фармацевтичного забезпечення за умов впровадження принципів соціальної фармації, які полягають у соціальній справедливості та суспільній доцільності фармацевтичного забезпечення населення, гуманізмі та персоналізованості фармацевтичної допомоги, управлінні якістю та законодавчій урегульованості механізмів фармацевтичного забезпечення, а також фаховій компетентності та соціальній відповідальності працівників галузі ОЗ.</w:t>
      </w:r>
    </w:p>
    <w:p w:rsidR="0088636D" w:rsidRPr="0088636D" w:rsidRDefault="0088636D" w:rsidP="0088636D">
      <w:pPr>
        <w:autoSpaceDE w:val="0"/>
        <w:autoSpaceDN w:val="0"/>
        <w:adjustRightInd w:val="0"/>
        <w:spacing w:after="0" w:line="240" w:lineRule="auto"/>
        <w:jc w:val="both"/>
        <w:rPr>
          <w:rFonts w:ascii="Times New Roman" w:eastAsia="Times New Roman" w:hAnsi="Times New Roman" w:cs="Times New Roman"/>
          <w:color w:val="000000"/>
          <w:spacing w:val="-4"/>
          <w:sz w:val="24"/>
          <w:szCs w:val="24"/>
          <w:lang w:val="uk-UA" w:eastAsia="uk-U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sz w:val="24"/>
          <w:szCs w:val="24"/>
          <w:lang w:val="uk-UA" w:eastAsia="ar-SA"/>
        </w:rPr>
        <w:t>Мета</w:t>
      </w:r>
      <w:r w:rsidRPr="0088636D">
        <w:rPr>
          <w:rFonts w:ascii="Times New Roman" w:eastAsia="Times New Roman" w:hAnsi="Times New Roman" w:cs="Times New Roman"/>
          <w:sz w:val="24"/>
          <w:szCs w:val="24"/>
          <w:lang w:val="uk-UA" w:eastAsia="ar-SA"/>
        </w:rPr>
        <w:t>:   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b/>
          <w:sz w:val="24"/>
          <w:szCs w:val="24"/>
          <w:lang w:val="uk-UA" w:eastAsia="ru-RU"/>
        </w:rPr>
        <w:t xml:space="preserve">Основні поняття: </w:t>
      </w:r>
      <w:r w:rsidRPr="0088636D">
        <w:rPr>
          <w:rFonts w:ascii="Times New Roman" w:eastAsia="Times New Roman" w:hAnsi="Times New Roman" w:cs="Times New Roman"/>
          <w:sz w:val="24"/>
          <w:szCs w:val="24"/>
          <w:lang w:val="uk-UA" w:eastAsia="ru-RU"/>
        </w:rPr>
        <w:t>соціальна фармація</w:t>
      </w:r>
      <w:r w:rsidRPr="0088636D">
        <w:rPr>
          <w:rFonts w:ascii="Times New Roman" w:eastAsia="Times New Roman" w:hAnsi="Times New Roman" w:cs="Times New Roman"/>
          <w:b/>
          <w:sz w:val="24"/>
          <w:szCs w:val="24"/>
          <w:lang w:val="uk-UA" w:eastAsia="ru-RU"/>
        </w:rPr>
        <w:t xml:space="preserve">; </w:t>
      </w:r>
      <w:r w:rsidRPr="0088636D">
        <w:rPr>
          <w:rFonts w:ascii="Times New Roman" w:eastAsia="Calibri" w:hAnsi="Times New Roman" w:cs="Times New Roman"/>
          <w:sz w:val="24"/>
          <w:szCs w:val="24"/>
          <w:lang w:val="uk-UA"/>
        </w:rPr>
        <w:t xml:space="preserve">система охорони здоров'я; </w:t>
      </w:r>
      <w:r w:rsidRPr="0088636D">
        <w:rPr>
          <w:rFonts w:ascii="Times New Roman" w:eastAsia="Times New Roman" w:hAnsi="Times New Roman" w:cs="Times New Roman"/>
          <w:sz w:val="24"/>
          <w:szCs w:val="24"/>
          <w:lang w:val="uk-UA" w:eastAsia="ru-RU"/>
        </w:rPr>
        <w:t>гуманізм; соціальна справедливість (доступність);  суспільна доцільність; соціальна відповідальність; фахова компетентність</w:t>
      </w:r>
    </w:p>
    <w:p w:rsidR="0088636D" w:rsidRPr="0088636D" w:rsidRDefault="0088636D" w:rsidP="0088636D">
      <w:pPr>
        <w:spacing w:after="0" w:line="240" w:lineRule="auto"/>
        <w:contextualSpacing/>
        <w:jc w:val="both"/>
        <w:rPr>
          <w:rFonts w:ascii="Times New Roman" w:eastAsia="Times New Roman" w:hAnsi="Times New Roman" w:cs="Times New Roman"/>
          <w:sz w:val="24"/>
          <w:szCs w:val="24"/>
          <w:lang w:val="uk-UA" w:eastAsia="ru-RU"/>
        </w:rPr>
      </w:pP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 xml:space="preserve"> План та організаційна структура лекції</w:t>
      </w: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p>
    <w:tbl>
      <w:tblPr>
        <w:tblW w:w="0" w:type="auto"/>
        <w:tblInd w:w="-5" w:type="dxa"/>
        <w:tblLayout w:type="fixed"/>
        <w:tblLook w:val="0000" w:firstRow="0" w:lastRow="0" w:firstColumn="0" w:lastColumn="0" w:noHBand="0" w:noVBand="0"/>
      </w:tblPr>
      <w:tblGrid>
        <w:gridCol w:w="827"/>
        <w:gridCol w:w="2984"/>
        <w:gridCol w:w="2384"/>
        <w:gridCol w:w="1839"/>
        <w:gridCol w:w="1547"/>
      </w:tblGrid>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w:t>
            </w:r>
          </w:p>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п.п.</w:t>
            </w:r>
          </w:p>
        </w:tc>
        <w:tc>
          <w:tcPr>
            <w:tcW w:w="2984"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Основні  етапи лекції та їх зміст</w:t>
            </w:r>
          </w:p>
        </w:tc>
        <w:tc>
          <w:tcPr>
            <w:tcW w:w="2384"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Цілі у ступенях абстракції</w:t>
            </w:r>
          </w:p>
        </w:tc>
        <w:tc>
          <w:tcPr>
            <w:tcW w:w="1839"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Тип лекції. Обладнання лекції.</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Розподіл часу</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1</w:t>
            </w:r>
          </w:p>
        </w:tc>
        <w:tc>
          <w:tcPr>
            <w:tcW w:w="2984"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2</w:t>
            </w:r>
          </w:p>
        </w:tc>
        <w:tc>
          <w:tcPr>
            <w:tcW w:w="2384"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3</w:t>
            </w:r>
          </w:p>
        </w:tc>
        <w:tc>
          <w:tcPr>
            <w:tcW w:w="1839"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4</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5</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w:t>
            </w:r>
          </w:p>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ІІ.</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3.</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ІІІ.</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6.</w:t>
            </w:r>
          </w:p>
        </w:tc>
        <w:tc>
          <w:tcPr>
            <w:tcW w:w="2984"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lastRenderedPageBreak/>
              <w:t>Підготовчий етап.</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Визначення навчальної мети.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Забезпечення позитивної мотивації.</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Основний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Викладення лекційного матеріалу за планом:</w:t>
            </w:r>
          </w:p>
          <w:p w:rsidR="0088636D" w:rsidRPr="0088636D" w:rsidRDefault="0088636D" w:rsidP="0088636D">
            <w:pPr>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1. Соціальна фармація як наука: мета, задачі, предмет та об'єкти вивчення. </w:t>
            </w:r>
          </w:p>
          <w:p w:rsidR="0088636D" w:rsidRPr="0088636D" w:rsidRDefault="0088636D" w:rsidP="0088636D">
            <w:pPr>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2. Споживачі результатів соціальної фармації досліджень. </w:t>
            </w:r>
          </w:p>
          <w:p w:rsidR="0088636D" w:rsidRPr="0088636D" w:rsidRDefault="0088636D" w:rsidP="0088636D">
            <w:pPr>
              <w:numPr>
                <w:ilvl w:val="0"/>
                <w:numId w:val="1"/>
              </w:numPr>
              <w:tabs>
                <w:tab w:val="num" w:pos="0"/>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3. Зв’язок соціальної фармації з суміжними дисциплінами та її місце в системі вищої фармацевтичної освіти.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pacing w:val="-4"/>
                <w:sz w:val="24"/>
                <w:szCs w:val="24"/>
                <w:lang w:val="uk-UA" w:eastAsia="ru-RU"/>
              </w:rPr>
              <w:t>4. </w:t>
            </w:r>
            <w:r w:rsidRPr="0088636D">
              <w:rPr>
                <w:rFonts w:ascii="Times New Roman" w:eastAsia="Times New Roman" w:hAnsi="Times New Roman" w:cs="Times New Roman"/>
                <w:sz w:val="24"/>
                <w:szCs w:val="24"/>
                <w:lang w:val="uk-UA" w:eastAsia="ar-SA"/>
              </w:rPr>
              <w:t xml:space="preserve">Становлення та розвиток соціальної фармації як міждисплінарної та </w:t>
            </w:r>
            <w:r w:rsidRPr="0088636D">
              <w:rPr>
                <w:rFonts w:ascii="Times New Roman" w:eastAsia="Times New Roman" w:hAnsi="Times New Roman" w:cs="Times New Roman"/>
                <w:sz w:val="24"/>
                <w:szCs w:val="24"/>
                <w:lang w:val="uk-UA" w:eastAsia="ar-SA"/>
              </w:rPr>
              <w:lastRenderedPageBreak/>
              <w:t>міжгалузевої науки</w:t>
            </w:r>
          </w:p>
          <w:p w:rsidR="0088636D" w:rsidRPr="0088636D" w:rsidRDefault="0088636D" w:rsidP="0088636D">
            <w:pPr>
              <w:spacing w:after="0" w:line="240" w:lineRule="auto"/>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spacing w:val="-4"/>
                <w:sz w:val="24"/>
                <w:szCs w:val="24"/>
                <w:lang w:val="uk-UA" w:eastAsia="ru-RU"/>
              </w:rPr>
              <w:t>5. </w:t>
            </w:r>
            <w:r w:rsidRPr="0088636D">
              <w:rPr>
                <w:rFonts w:ascii="Times New Roman" w:eastAsia="Times New Roman" w:hAnsi="Times New Roman" w:cs="Times New Roman"/>
                <w:sz w:val="24"/>
                <w:szCs w:val="24"/>
                <w:lang w:eastAsia="ru-RU"/>
              </w:rPr>
              <w:t>Визначення змісту та принципів концепції соціальної фармації в країнах світу та в Україні</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Заключний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Резюме лекції. Загальні висновки.</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Відповідь лектора на можливі запитання.</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Завдання для самопідготовки.</w:t>
            </w:r>
          </w:p>
        </w:tc>
        <w:tc>
          <w:tcPr>
            <w:tcW w:w="2384" w:type="dxa"/>
            <w:tcBorders>
              <w:top w:val="single" w:sz="4" w:space="0" w:color="000000"/>
              <w:left w:val="single" w:sz="4" w:space="0" w:color="000000"/>
              <w:bottom w:val="single" w:sz="4" w:space="0" w:color="000000"/>
            </w:tcBorders>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I</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Ш</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ІУ</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tc>
        <w:tc>
          <w:tcPr>
            <w:tcW w:w="1839"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Проектор </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Список літератури, питання, завдання.</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85 – 90%</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tc>
      </w:tr>
    </w:tbl>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ab/>
      </w:r>
    </w:p>
    <w:p w:rsidR="0088636D" w:rsidRPr="0088636D" w:rsidRDefault="0088636D" w:rsidP="0088636D">
      <w:pPr>
        <w:suppressAutoHyphens/>
        <w:spacing w:after="0" w:line="240" w:lineRule="auto"/>
        <w:rPr>
          <w:rFonts w:ascii="Times New Roman" w:eastAsia="Times New Roman" w:hAnsi="Times New Roman" w:cs="Times New Roman"/>
          <w:b/>
          <w:bCs/>
          <w:iCs/>
          <w:sz w:val="24"/>
          <w:szCs w:val="24"/>
          <w:lang w:val="uk-UA" w:eastAsia="ar-SA"/>
        </w:rPr>
      </w:pPr>
      <w:r w:rsidRPr="0088636D">
        <w:rPr>
          <w:rFonts w:ascii="Times New Roman" w:eastAsia="Times New Roman" w:hAnsi="Times New Roman" w:cs="Times New Roman"/>
          <w:b/>
          <w:bCs/>
          <w:iCs/>
          <w:sz w:val="24"/>
          <w:szCs w:val="24"/>
          <w:lang w:val="uk-UA" w:eastAsia="ar-SA"/>
        </w:rPr>
        <w:t>Зміст лекційного матеріалу (текст лекцій)</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ind w:firstLine="709"/>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1. Становлення та розвиток соціальної фармації (СФ) як міждисплінарної та міжгалузевої науки</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Становлення СФ як науки відбулося у другій половині ХХ століття в Європі та Сполучених Штатах Америки. Перші згадки про соціальні та біхевіористичні (поведінкові) науки у фармації одночасно зустрічаютьсяв деяких університетах </w:t>
      </w:r>
      <w:r w:rsidRPr="0088636D">
        <w:rPr>
          <w:rFonts w:ascii="Times New Roman" w:eastAsia="Times New Roman" w:hAnsi="Times New Roman" w:cs="Times New Roman"/>
          <w:i/>
          <w:sz w:val="24"/>
          <w:szCs w:val="24"/>
          <w:lang w:val="uk-UA" w:eastAsia="ar-SA"/>
        </w:rPr>
        <w:t>США</w:t>
      </w:r>
      <w:r w:rsidRPr="0088636D">
        <w:rPr>
          <w:rFonts w:ascii="Times New Roman" w:eastAsia="Times New Roman" w:hAnsi="Times New Roman" w:cs="Times New Roman"/>
          <w:sz w:val="24"/>
          <w:szCs w:val="24"/>
          <w:lang w:val="uk-UA" w:eastAsia="ar-SA"/>
        </w:rPr>
        <w:t xml:space="preserve"> та </w:t>
      </w:r>
      <w:r w:rsidRPr="0088636D">
        <w:rPr>
          <w:rFonts w:ascii="Times New Roman" w:eastAsia="Times New Roman" w:hAnsi="Times New Roman" w:cs="Times New Roman"/>
          <w:i/>
          <w:sz w:val="24"/>
          <w:szCs w:val="24"/>
          <w:lang w:val="uk-UA" w:eastAsia="ar-SA"/>
        </w:rPr>
        <w:t>Європи</w:t>
      </w:r>
      <w:r w:rsidRPr="0088636D">
        <w:rPr>
          <w:rFonts w:ascii="Times New Roman" w:eastAsia="Times New Roman" w:hAnsi="Times New Roman" w:cs="Times New Roman"/>
          <w:sz w:val="24"/>
          <w:szCs w:val="24"/>
          <w:lang w:val="uk-UA" w:eastAsia="ar-SA"/>
        </w:rPr>
        <w:t xml:space="preserve">. Зокрема, у 1947 році з впровадженням курсу «Історія фармації і організації національної фармацевтичної мережі» було засновано першу кафедру СФ в Софійському медичному університеті </w:t>
      </w:r>
      <w:r w:rsidRPr="0088636D">
        <w:rPr>
          <w:rFonts w:ascii="Times New Roman" w:eastAsia="Times New Roman" w:hAnsi="Times New Roman" w:cs="Times New Roman"/>
          <w:i/>
          <w:sz w:val="24"/>
          <w:szCs w:val="24"/>
          <w:lang w:val="uk-UA" w:eastAsia="ar-SA"/>
        </w:rPr>
        <w:t>(Болгарія)</w:t>
      </w:r>
      <w:r w:rsidRPr="0088636D">
        <w:rPr>
          <w:rFonts w:ascii="Times New Roman" w:eastAsia="Times New Roman" w:hAnsi="Times New Roman" w:cs="Times New Roman"/>
          <w:sz w:val="24"/>
          <w:szCs w:val="24"/>
          <w:lang w:val="uk-UA" w:eastAsia="ar-SA"/>
        </w:rPr>
        <w:t xml:space="preserve">]. У цей же період подібні програми, які охоплюють питання, що вивчаються в межах СФ, впроваджують також і в </w:t>
      </w:r>
      <w:r w:rsidRPr="0088636D">
        <w:rPr>
          <w:rFonts w:ascii="Times New Roman" w:eastAsia="Times New Roman" w:hAnsi="Times New Roman" w:cs="Times New Roman"/>
          <w:i/>
          <w:sz w:val="24"/>
          <w:szCs w:val="24"/>
          <w:lang w:val="uk-UA" w:eastAsia="ar-SA"/>
        </w:rPr>
        <w:t>США</w:t>
      </w:r>
      <w:r w:rsidRPr="0088636D">
        <w:rPr>
          <w:rFonts w:ascii="Times New Roman" w:eastAsia="Times New Roman" w:hAnsi="Times New Roman" w:cs="Times New Roman"/>
          <w:sz w:val="24"/>
          <w:szCs w:val="24"/>
          <w:lang w:val="uk-UA" w:eastAsia="ar-SA"/>
        </w:rPr>
        <w:t xml:space="preserve">. Зокрема, в Мічігані впроваджено програму з історії фармації під керівництвом </w:t>
      </w:r>
      <w:r w:rsidRPr="0088636D">
        <w:rPr>
          <w:rFonts w:ascii="Times New Roman" w:eastAsia="Times New Roman" w:hAnsi="Times New Roman" w:cs="Times New Roman"/>
          <w:i/>
          <w:sz w:val="24"/>
          <w:szCs w:val="24"/>
          <w:lang w:val="uk-UA" w:eastAsia="ar-SA"/>
        </w:rPr>
        <w:t>Dr Stephen Wilson</w:t>
      </w:r>
      <w:r w:rsidRPr="0088636D">
        <w:rPr>
          <w:rFonts w:ascii="Times New Roman" w:eastAsia="Times New Roman" w:hAnsi="Times New Roman" w:cs="Times New Roman"/>
          <w:sz w:val="24"/>
          <w:szCs w:val="24"/>
          <w:lang w:val="uk-UA" w:eastAsia="ar-SA"/>
        </w:rPr>
        <w:t xml:space="preserve">, в Університеті Пітсбурга (штат Пенсильванія) – програму з фармацевтичної економіки, а в Університеті Пердью (м. Вест-Лафайетт, штат Індіана) </w:t>
      </w:r>
      <w:r w:rsidRPr="0088636D">
        <w:rPr>
          <w:rFonts w:ascii="Times New Roman" w:eastAsia="Times New Roman" w:hAnsi="Times New Roman" w:cs="Times New Roman"/>
          <w:i/>
          <w:sz w:val="24"/>
          <w:szCs w:val="24"/>
          <w:lang w:val="uk-UA" w:eastAsia="ar-SA"/>
        </w:rPr>
        <w:t>Dr Robert Evanson</w:t>
      </w:r>
      <w:r w:rsidRPr="0088636D">
        <w:rPr>
          <w:rFonts w:ascii="Times New Roman" w:eastAsia="Times New Roman" w:hAnsi="Times New Roman" w:cs="Times New Roman"/>
          <w:sz w:val="24"/>
          <w:szCs w:val="24"/>
          <w:lang w:val="uk-UA" w:eastAsia="ar-SA"/>
        </w:rPr>
        <w:t xml:space="preserve"> викладав курс фармації з акцентом на соціальні особливості роздрібної реалізації ліків та управління малим бізнесом на відміну від загального маркетингу та управлінської орієнтації, що викладалися в інших університетах.</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Однією з передумов у формуванні та становленні СФ як науки стала конференція, яка відбулася у 1969 р. у </w:t>
      </w:r>
      <w:r w:rsidRPr="0088636D">
        <w:rPr>
          <w:rFonts w:ascii="Times New Roman" w:eastAsia="Times New Roman" w:hAnsi="Times New Roman" w:cs="Times New Roman"/>
          <w:i/>
          <w:sz w:val="24"/>
          <w:szCs w:val="24"/>
          <w:lang w:val="uk-UA" w:eastAsia="ar-SA"/>
        </w:rPr>
        <w:t xml:space="preserve">Медісоні </w:t>
      </w:r>
      <w:r w:rsidRPr="0088636D">
        <w:rPr>
          <w:rFonts w:ascii="Times New Roman" w:eastAsia="Times New Roman" w:hAnsi="Times New Roman" w:cs="Times New Roman"/>
          <w:sz w:val="24"/>
          <w:szCs w:val="24"/>
          <w:lang w:val="uk-UA" w:eastAsia="ar-SA"/>
        </w:rPr>
        <w:t xml:space="preserve">(штат Вісконсін) за ініціативою та участю </w:t>
      </w:r>
      <w:r w:rsidRPr="0088636D">
        <w:rPr>
          <w:rFonts w:ascii="Times New Roman" w:eastAsia="Times New Roman" w:hAnsi="Times New Roman" w:cs="Times New Roman"/>
          <w:i/>
          <w:sz w:val="24"/>
          <w:szCs w:val="24"/>
          <w:lang w:val="uk-UA" w:eastAsia="ar-SA"/>
        </w:rPr>
        <w:t>Dr Sonnendecker</w:t>
      </w:r>
      <w:r w:rsidRPr="0088636D">
        <w:rPr>
          <w:rFonts w:ascii="Times New Roman" w:eastAsia="Times New Roman" w:hAnsi="Times New Roman" w:cs="Times New Roman"/>
          <w:sz w:val="24"/>
          <w:szCs w:val="24"/>
          <w:lang w:val="uk-UA" w:eastAsia="ar-SA"/>
        </w:rPr>
        <w:t xml:space="preserve">. Під час конференції науковці та представники практичної фармації обговорювали проблеми, переваги та можливості викладання та дослідження суспільних наук у фармації.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Вже у 1975 році комісією з фармації в США визначено необхідність викладання біхевіористичних і соціальних наук у фармації та додавання їх до програм підготовки фармацевтичних фахівців. Того ж року Рада фармацевтичної освіти вводить дисципліну «Фармацевтичне управління» (Pharmacy Administration) і соціальні/поведінкові науки до орієнтовного навчального плану університетів Америки.</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Також необхідно згадати про видання підручника «Фармацевтична практика: соціальні та біхевіористичні аспекти» (Pharmacy practice: social and behavioral aspects) авторів </w:t>
      </w:r>
      <w:r w:rsidRPr="0088636D">
        <w:rPr>
          <w:rFonts w:ascii="Times New Roman" w:eastAsia="Times New Roman" w:hAnsi="Times New Roman" w:cs="Times New Roman"/>
          <w:i/>
          <w:sz w:val="24"/>
          <w:szCs w:val="24"/>
          <w:lang w:val="uk-UA" w:eastAsia="ar-SA"/>
        </w:rPr>
        <w:t>Albert I. Wertheimer</w:t>
      </w:r>
      <w:r w:rsidRPr="0088636D">
        <w:rPr>
          <w:rFonts w:ascii="Times New Roman" w:eastAsia="Times New Roman" w:hAnsi="Times New Roman" w:cs="Times New Roman"/>
          <w:sz w:val="24"/>
          <w:szCs w:val="24"/>
          <w:lang w:val="uk-UA" w:eastAsia="ar-SA"/>
        </w:rPr>
        <w:t xml:space="preserve"> та </w:t>
      </w:r>
      <w:r w:rsidRPr="0088636D">
        <w:rPr>
          <w:rFonts w:ascii="Times New Roman" w:eastAsia="Times New Roman" w:hAnsi="Times New Roman" w:cs="Times New Roman"/>
          <w:i/>
          <w:sz w:val="24"/>
          <w:szCs w:val="24"/>
          <w:lang w:val="uk-UA" w:eastAsia="ar-SA"/>
        </w:rPr>
        <w:t>Mickey C. Smith</w:t>
      </w:r>
      <w:r w:rsidRPr="0088636D">
        <w:rPr>
          <w:rFonts w:ascii="Times New Roman" w:eastAsia="Times New Roman" w:hAnsi="Times New Roman" w:cs="Times New Roman"/>
          <w:sz w:val="24"/>
          <w:szCs w:val="24"/>
          <w:lang w:val="uk-UA" w:eastAsia="ar-SA"/>
        </w:rPr>
        <w:t xml:space="preserve"> (1974 р.), за допомогою якого здійснювалося викладання соціально-орієнтованих дисциплін.</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У 1979 році американськими вченими </w:t>
      </w:r>
      <w:r w:rsidRPr="0088636D">
        <w:rPr>
          <w:rFonts w:ascii="Times New Roman" w:eastAsia="Times New Roman" w:hAnsi="Times New Roman" w:cs="Times New Roman"/>
          <w:i/>
          <w:sz w:val="24"/>
          <w:szCs w:val="24"/>
          <w:lang w:val="uk-UA" w:eastAsia="ar-SA"/>
        </w:rPr>
        <w:t>Johnson &amp; Wertheimer</w:t>
      </w:r>
      <w:r w:rsidRPr="0088636D">
        <w:rPr>
          <w:rFonts w:ascii="Times New Roman" w:eastAsia="Times New Roman" w:hAnsi="Times New Roman" w:cs="Times New Roman"/>
          <w:sz w:val="24"/>
          <w:szCs w:val="24"/>
          <w:lang w:val="uk-UA" w:eastAsia="ar-SA"/>
        </w:rPr>
        <w:t xml:space="preserve"> було запропоновано загальне визначення «біхевіористичної (поведінкової) фармації». Отже, біхевіористична (поведінкова) фармація – це галузь (сфера), пов’язана з розвитком поведінкових знань і методів науки, спрямованих на розуміння коректного використання ЛЗ, їх ефектів, відбору та призначення, поведінкової терапії та альтернатив фармакотерапії, розуміння професійної поведінки фармацевтичних практиків, а також застосування цих знань і методів для профілактики, діагностики, лікування й реабілітації.</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Подібні тенденції також спостерігалися й у </w:t>
      </w:r>
      <w:r w:rsidRPr="0088636D">
        <w:rPr>
          <w:rFonts w:ascii="Times New Roman" w:eastAsia="Times New Roman" w:hAnsi="Times New Roman" w:cs="Times New Roman"/>
          <w:i/>
          <w:sz w:val="24"/>
          <w:szCs w:val="24"/>
          <w:lang w:val="uk-UA" w:eastAsia="ar-SA"/>
        </w:rPr>
        <w:t>Великій Британії</w:t>
      </w:r>
      <w:r w:rsidRPr="0088636D">
        <w:rPr>
          <w:rFonts w:ascii="Times New Roman" w:eastAsia="Times New Roman" w:hAnsi="Times New Roman" w:cs="Times New Roman"/>
          <w:sz w:val="24"/>
          <w:szCs w:val="24"/>
          <w:lang w:val="uk-UA" w:eastAsia="ar-SA"/>
        </w:rPr>
        <w:t xml:space="preserve">, де у 1986 році Наффілдський комітет із фармацевтичних досліджень вирішив додати поведінкові науки до додипломного навчального плану фармацевтів. Це рішення згодом (1989 р.) було підтримано робочою групою щодо соціальних і поведінкових наук в освіті комітету Королівського фармацевтичного товариства. У результаті в низці фармацевтичних шкіл почали викладати </w:t>
      </w:r>
      <w:r w:rsidRPr="0088636D">
        <w:rPr>
          <w:rFonts w:ascii="Times New Roman" w:eastAsia="Times New Roman" w:hAnsi="Times New Roman" w:cs="Times New Roman"/>
          <w:sz w:val="24"/>
          <w:szCs w:val="24"/>
          <w:lang w:val="uk-UA" w:eastAsia="ar-SA"/>
        </w:rPr>
        <w:lastRenderedPageBreak/>
        <w:t xml:space="preserve">соціальні та біхевіористичні науки як окрему дисципліну навчальної програми або як частину дисципліни «Фармацевтична практика», що, як правило, містила також і клінічну фармацію.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У країнах Північної та Східної Європи впровадження соціальної фармації до навчальних програм відбулося в середині 1970-х років. Однак необхідно зазначити, що першу згадку «соціальної фармації» саме як дисципліни фіксують у 1957 році в </w:t>
      </w:r>
      <w:r w:rsidRPr="0088636D">
        <w:rPr>
          <w:rFonts w:ascii="Times New Roman" w:eastAsia="Times New Roman" w:hAnsi="Times New Roman" w:cs="Times New Roman"/>
          <w:b/>
          <w:i/>
          <w:sz w:val="24"/>
          <w:szCs w:val="24"/>
          <w:lang w:val="uk-UA" w:eastAsia="ar-SA"/>
        </w:rPr>
        <w:t>Швеції</w:t>
      </w:r>
      <w:r w:rsidRPr="0088636D">
        <w:rPr>
          <w:rFonts w:ascii="Times New Roman" w:eastAsia="Times New Roman" w:hAnsi="Times New Roman" w:cs="Times New Roman"/>
          <w:sz w:val="24"/>
          <w:szCs w:val="24"/>
          <w:lang w:val="uk-UA" w:eastAsia="ar-SA"/>
        </w:rPr>
        <w:t xml:space="preserve"> з введенням курсу «Соціальна фармація і закони/правила в фармації» та зі зміною у 1970 р. назви курсу на «Соціальну фармацію».</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Цей період також характеризується серйозними дискусіями щодо назви дисципліни, що займається соціальними й суспільними проблемами. У </w:t>
      </w:r>
      <w:r w:rsidRPr="0088636D">
        <w:rPr>
          <w:rFonts w:ascii="Times New Roman" w:eastAsia="Times New Roman" w:hAnsi="Times New Roman" w:cs="Times New Roman"/>
          <w:b/>
          <w:i/>
          <w:sz w:val="24"/>
          <w:szCs w:val="24"/>
          <w:lang w:val="uk-UA" w:eastAsia="ar-SA"/>
        </w:rPr>
        <w:t>Данії</w:t>
      </w:r>
      <w:r w:rsidRPr="0088636D">
        <w:rPr>
          <w:rFonts w:ascii="Times New Roman" w:eastAsia="Times New Roman" w:hAnsi="Times New Roman" w:cs="Times New Roman"/>
          <w:sz w:val="24"/>
          <w:szCs w:val="24"/>
          <w:lang w:val="uk-UA" w:eastAsia="ar-SA"/>
        </w:rPr>
        <w:t xml:space="preserve"> вперше «Соціальна фармація» як курс/навчальна дисципліна була введена в 1972–1973 навчальному році, а в 1980 р. курс з’явився в загальному навчальному каталозі як «Соціальна фармація з соціальною наукою» («</w:t>
      </w:r>
      <w:r w:rsidRPr="0088636D">
        <w:rPr>
          <w:rFonts w:ascii="Times New Roman" w:eastAsia="Times New Roman" w:hAnsi="Times New Roman" w:cs="Times New Roman"/>
          <w:sz w:val="24"/>
          <w:szCs w:val="24"/>
          <w:lang w:val="en-GB" w:eastAsia="ar-SA"/>
        </w:rPr>
        <w:t>socialpharmacywithsocialscience</w:t>
      </w:r>
      <w:r w:rsidRPr="0088636D">
        <w:rPr>
          <w:rFonts w:ascii="Times New Roman" w:eastAsia="Times New Roman" w:hAnsi="Times New Roman" w:cs="Times New Roman"/>
          <w:sz w:val="24"/>
          <w:szCs w:val="24"/>
          <w:lang w:val="uk-UA" w:eastAsia="ar-SA"/>
        </w:rPr>
        <w:t>»). У 1992 році в Королівській датській фармацевтичній школі було створено кафедру соціальної фармації.</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У </w:t>
      </w:r>
      <w:r w:rsidRPr="0088636D">
        <w:rPr>
          <w:rFonts w:ascii="Times New Roman" w:eastAsia="Times New Roman" w:hAnsi="Times New Roman" w:cs="Times New Roman"/>
          <w:b/>
          <w:i/>
          <w:sz w:val="24"/>
          <w:szCs w:val="24"/>
          <w:lang w:val="uk-UA" w:eastAsia="ar-SA"/>
        </w:rPr>
        <w:t>Великій Британії</w:t>
      </w:r>
      <w:r w:rsidRPr="0088636D">
        <w:rPr>
          <w:rFonts w:ascii="Times New Roman" w:eastAsia="Times New Roman" w:hAnsi="Times New Roman" w:cs="Times New Roman"/>
          <w:sz w:val="24"/>
          <w:szCs w:val="24"/>
          <w:lang w:val="uk-UA" w:eastAsia="ar-SA"/>
        </w:rPr>
        <w:t xml:space="preserve">, незважаючи на достатньо успішне впровадження в 90-х роках в університетах країни курсу із соціальної фармації, не існувало окремої ключової концепції соціальної фармації, здебільшого вона розглядалася як частина «фармацевтичної практики». Перші спроби у визначенні концепції соціальної фармації були зроблені </w:t>
      </w:r>
      <w:r w:rsidRPr="0088636D">
        <w:rPr>
          <w:rFonts w:ascii="Times New Roman" w:eastAsia="Times New Roman" w:hAnsi="Times New Roman" w:cs="Times New Roman"/>
          <w:i/>
          <w:sz w:val="24"/>
          <w:szCs w:val="24"/>
          <w:lang w:val="en-GB" w:eastAsia="ar-SA"/>
        </w:rPr>
        <w:t>GeoffreyHarding</w:t>
      </w:r>
      <w:r w:rsidRPr="0088636D">
        <w:rPr>
          <w:rFonts w:ascii="Times New Roman" w:eastAsia="Times New Roman" w:hAnsi="Times New Roman" w:cs="Times New Roman"/>
          <w:sz w:val="24"/>
          <w:szCs w:val="24"/>
          <w:lang w:val="uk-UA" w:eastAsia="ar-SA"/>
        </w:rPr>
        <w:t xml:space="preserve"> та </w:t>
      </w:r>
      <w:r w:rsidRPr="0088636D">
        <w:rPr>
          <w:rFonts w:ascii="Times New Roman" w:eastAsia="Times New Roman" w:hAnsi="Times New Roman" w:cs="Times New Roman"/>
          <w:i/>
          <w:sz w:val="24"/>
          <w:szCs w:val="24"/>
          <w:lang w:val="en-GB" w:eastAsia="ar-SA"/>
        </w:rPr>
        <w:t>KevinTaylor</w:t>
      </w:r>
      <w:r w:rsidRPr="0088636D">
        <w:rPr>
          <w:rFonts w:ascii="Times New Roman" w:eastAsia="Times New Roman" w:hAnsi="Times New Roman" w:cs="Times New Roman"/>
          <w:sz w:val="24"/>
          <w:szCs w:val="24"/>
          <w:lang w:val="uk-UA" w:eastAsia="ar-SA"/>
        </w:rPr>
        <w:t xml:space="preserve"> у 1993 році. На їхню думку, термін «соціальна фармація» за своєю суттю є суперечливим, оскільки «фармація» по суті передбачає вивчення біофізичних і біохімічних процесів у живих організмах, тобто – «ЛЗ всередині системи (організму)». З іншого боку, соціальна фармація досліджує процеси дії ЛЗ на організм людини не лише всередині тіла, а й зовні, тобто – вплив застосування та дії (ефекту) ЛЗ на соціум загалом та людину зокрема, особливо в частині фармацевтичної опіки та відповідального самолікування. Тому саме соціальна фармація доповнює фармацію біхевіористичними та соціальними компонентами.</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Отже, можна стверджувати, що найбільш активний розвиток концепції соціальної фармації у період 40–90-х років відбувся у Великій Британії, скандинавських країнах та США. Спочатку соціальну фармацію трактували як розподіл споживання ЛЗ та «фармакоепідеміологію», однак згодом цей термін вже охоплював більш широке коло аспектів функціонування фармацевтичної галузі.</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З метою узгодження багатовекторного розуміння СФ в багатьох країнах світу проходять воркшопи та конференції з СФ, зокрема, перший воркшоп відбувся у 1980 році в м. Гельсінкі </w:t>
      </w:r>
      <w:r w:rsidRPr="0088636D">
        <w:rPr>
          <w:rFonts w:ascii="Times New Roman" w:eastAsia="Times New Roman" w:hAnsi="Times New Roman" w:cs="Times New Roman"/>
          <w:i/>
          <w:spacing w:val="-2"/>
          <w:sz w:val="24"/>
          <w:szCs w:val="24"/>
          <w:lang w:val="uk-UA" w:eastAsia="ar-SA"/>
        </w:rPr>
        <w:t>(Фінляндія)</w:t>
      </w:r>
      <w:r w:rsidRPr="0088636D">
        <w:rPr>
          <w:rFonts w:ascii="Times New Roman" w:eastAsia="Times New Roman" w:hAnsi="Times New Roman" w:cs="Times New Roman"/>
          <w:spacing w:val="-2"/>
          <w:sz w:val="24"/>
          <w:szCs w:val="24"/>
          <w:lang w:val="uk-UA" w:eastAsia="ar-SA"/>
        </w:rPr>
        <w:t xml:space="preserve">. Згодом під час підготовки до чергового зібрання й проведення конференції в Мальті (2004 р.) у 2003 р. </w:t>
      </w:r>
      <w:r w:rsidRPr="0088636D">
        <w:rPr>
          <w:rFonts w:ascii="Times New Roman" w:eastAsia="Times New Roman" w:hAnsi="Times New Roman" w:cs="Times New Roman"/>
          <w:i/>
          <w:spacing w:val="-2"/>
          <w:sz w:val="24"/>
          <w:szCs w:val="24"/>
          <w:lang w:val="uk-UA" w:eastAsia="ar-SA"/>
        </w:rPr>
        <w:t>Sørensen EW</w:t>
      </w:r>
      <w:r w:rsidRPr="0088636D">
        <w:rPr>
          <w:rFonts w:ascii="Times New Roman" w:eastAsia="Times New Roman" w:hAnsi="Times New Roman" w:cs="Times New Roman"/>
          <w:spacing w:val="-2"/>
          <w:sz w:val="24"/>
          <w:szCs w:val="24"/>
          <w:lang w:val="uk-UA" w:eastAsia="ar-SA"/>
        </w:rPr>
        <w:t xml:space="preserve"> сформував концепцію СФ, що, на нашу думку, стало одним з основних переломних моментів на шляху до її становлення.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За визначенням, запропонованим датським вченим, </w:t>
      </w:r>
      <w:r w:rsidRPr="0088636D">
        <w:rPr>
          <w:rFonts w:ascii="Times New Roman" w:eastAsia="Times New Roman" w:hAnsi="Times New Roman" w:cs="Times New Roman"/>
          <w:i/>
          <w:sz w:val="24"/>
          <w:szCs w:val="24"/>
          <w:lang w:val="uk-UA" w:eastAsia="ar-SA"/>
        </w:rPr>
        <w:t>соціальна фармація</w:t>
      </w:r>
      <w:r w:rsidRPr="0088636D">
        <w:rPr>
          <w:rFonts w:ascii="Times New Roman" w:eastAsia="Times New Roman" w:hAnsi="Times New Roman" w:cs="Times New Roman"/>
          <w:sz w:val="24"/>
          <w:szCs w:val="24"/>
          <w:lang w:val="uk-UA" w:eastAsia="ar-SA"/>
        </w:rPr>
        <w:t> – гібридна галузь, що дає змогу використовувати теорію та методи багатьох гуманістичних та соціальних наукових дисциплін для дослідження фармацевтичної практики. Саме знання з гуманістичних та соціальних дисциплін, що дозволяють ФП діяти, брати участь та бути відповідальним за діяльність, пов’язану з ЛЗ на соціальному рівні, й забезпечують покращення фармацевтичної практики та раціонального використання ЛЗ. Це наукове дослідження стало передумовою до виникнення нових досліджень в сфері СФ.</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 сьогодні соціальні та поведінкові науки вважаються основою соціальної фармації, якщо враховувати усі соціальні фактори, що впливають на застосування пацієнтом ЛЗ, зокрема його власні переконання, а також законодавство, політику, фармацевтичну інформацію, етику, психологію тощо. Дослідження в сфері соціальної фармації спрямовані на розуміння взаємозв’язку між пацієнтом, провізором та фармацією загалом з погляду пацієнта та результатів фармакотерапії. Вони містять різні аспекти фармацевтичного забезпечення та допомоги населенню, медичних втручань, стосунків у системах «фармацевтичний працівник – пацієнт», «пацієнт – лікар», «фармацевтичний працівник – лікар».</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ХХ століття характеризується становленням та розвитком соціальної фармації також і в країнах Азії, Африки, Південної Америки. Зокрема, за результатами дослідження встановлено, що соціально-орієнтовані дисципліни активно впроваджують до програм підготовки фармацевтів Саудівської Аравії, Об’єднаних Арабських Еміратів, Ірану, Індонезії, Лівану, Малайзії, Непалу, Ємену, Єгипту, Аргентини, Колумбії, Чилі, Перу та низки інших країн.</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 xml:space="preserve">За результатами аналізу вченими встановлено, що дослідження в сфері соціальної фармації проводяться в більшості країн світу: в Північній та Південній Америці (США, Канада, Мексика, Бразилія, Перу), європейських країнах (Бельгія, Португалія, Данія, Фінляндія, Швеція, Велика Британія, Іспанія, Естонія та ін.), деяких африканських країнах (Зімбабве, Єгипет, Нігерія), країнах Близького та Далекого Сходу (Йорданія, Саудівська Аравія, Катар, Непал, Ірак, Японія, Південна Корея, Малайзія), Австралії та Новій Зеландії.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Також соціальна фармація передбачає інтеграцію й розуміння призначення й використання ЛЗ у більш широкому контексті їх оцінювання з урахуванням правових, етичних, економічних, політичних, соціальних, комунікаційних, а також психологічних аспектів для сприяння безпечному та раціональному використанню ЛЗ.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pacing w:val="-4"/>
          <w:sz w:val="24"/>
          <w:szCs w:val="24"/>
          <w:lang w:val="uk-UA" w:eastAsia="ar-SA"/>
        </w:rPr>
      </w:pPr>
      <w:r w:rsidRPr="0088636D">
        <w:rPr>
          <w:rFonts w:ascii="Times New Roman" w:eastAsia="Times New Roman" w:hAnsi="Times New Roman" w:cs="Times New Roman"/>
          <w:spacing w:val="-4"/>
          <w:sz w:val="24"/>
          <w:szCs w:val="24"/>
          <w:lang w:val="uk-UA" w:eastAsia="ar-SA"/>
        </w:rPr>
        <w:t>На території пострадянського простору новатором у впровадженні принципів СФ стала</w:t>
      </w:r>
      <w:r w:rsidRPr="0088636D">
        <w:rPr>
          <w:rFonts w:ascii="Times New Roman" w:eastAsia="Times New Roman" w:hAnsi="Times New Roman" w:cs="Times New Roman"/>
          <w:b/>
          <w:i/>
          <w:spacing w:val="-4"/>
          <w:sz w:val="24"/>
          <w:szCs w:val="24"/>
          <w:lang w:val="uk-UA" w:eastAsia="ar-SA"/>
        </w:rPr>
        <w:t xml:space="preserve"> Грузія</w:t>
      </w:r>
      <w:r w:rsidRPr="0088636D">
        <w:rPr>
          <w:rFonts w:ascii="Times New Roman" w:eastAsia="Times New Roman" w:hAnsi="Times New Roman" w:cs="Times New Roman"/>
          <w:spacing w:val="-4"/>
          <w:sz w:val="24"/>
          <w:szCs w:val="24"/>
          <w:lang w:val="uk-UA" w:eastAsia="ar-SA"/>
        </w:rPr>
        <w:t>, де у 1994 році у Тбіліському державному медичному університеті створено кафедру СФ, шляхом поетапної реорганізації заснованого у 1926 році факультету фармації та фармакогнозії. З 2006 р. на кафедрі було впроваджено окремий напрям – клінічна фармація, що стало передумовою до появи нової назви підрозділу – кафедра соціальної та клінічної фармації. На сьогодні основними науковими напрямами кафедри є фармакоекономічні та маркетингові дослідження ЛЗ, фармацевтичний менеджмент, клінічна фармація, організація фармацевтичної діяльності в сучасних економічних умовах, медична та фармацевтична інформація тощо.</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pacing w:val="-4"/>
          <w:sz w:val="24"/>
          <w:szCs w:val="24"/>
          <w:lang w:val="uk-UA" w:eastAsia="ar-SA"/>
        </w:rPr>
      </w:pPr>
      <w:r w:rsidRPr="0088636D">
        <w:rPr>
          <w:rFonts w:ascii="Times New Roman" w:eastAsia="Times New Roman" w:hAnsi="Times New Roman" w:cs="Times New Roman"/>
          <w:spacing w:val="-4"/>
          <w:sz w:val="24"/>
          <w:szCs w:val="24"/>
          <w:lang w:val="uk-UA" w:eastAsia="ar-SA"/>
        </w:rPr>
        <w:t>Також кафедру соціальної фармації було створено у Молдові в 1999 році у Державному університеті медицини і фармації ім. Тестеміцану. Сьогодні на кафедрі проводяться наукові дослідження та викладаються навчальні дисципліни, що передбачають вивчення питань соціальної значимості ЛЗ, методів дослідження в СФ, комунікації з пацієнтами в аптеці, правила Належної аптечної практики, самолікування, фармацевтична опіка тощо.</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Згодом у Литовському університеті наук про здоров’я створено кафедру фармацевтичної технології та соціальної фармації (2005 р.). У Ризькому університеті імені Страдіня (Латвія) студенти 4-го року навчання під час курсу «Фармація» вивчають дисципліну «Соціальна фармація та фармацевтична опіка».</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Необхідно зазначити, що Україна не лишилась осторонь змін, що відбуваються в змісті фармацевтичної освіти країн світу, й з метою підвищення якості сучасної підготовки здобувачів вищої освіти за освітньо-кваліфікаційними рівнями «Бакалавр», «Спеціаліст», «Магістр» та у зв’язку з реформуванням фармацевтичної освіти відповідно до загальносвітових стандартів у Національному фармацевтичному університеті (м. Харків) у 2011 році було створено кафедру соціальної фармації.</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 моменту створення й до сьогодні на кафедрі проводяться соціально-орієнтовані наукові дослідження, спрямовані на обґрунтування соціально-ефективних механізмів забезпечення доступності фармацевтичного забезпечення населення, нормативно-правове регулювання обігу ЛЗ та фармацевтичної діяльності, морально-етичні та соціально-психологічні аспекти фармацевтичної діяльності, соціальні аспекти управління підприємствами, менеджмент та маркетинг у фармації. Також здійснюється аналіз сфери взаємодії «людина – суспільство – ліки – фармацевтична допомога», фармакоекономічних аспектів лікування соціально-значущих захворювань, медико-соціальних вимірювачів, показників здоров’я населення, вивчення соціальної відповідальності бізнесу в фармації, історичних аспектів вітчизняної медицини та фармації, проблем організації фармацевтичного забезпечення сільського населення, сучасного стану інформаційного забезпечення фармацевтичної діяльності.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 огляду на результати вивчення міжнародного досвіду розвитку СФ в країнах світу та в країнах пострадянського простору нами визначено та охарактеризовано основні етапи її становлення. Кожен із етапів відзначається характерними рисами й формує передумови до виникнення й розуміння СФ як загальної концепції та навчальної дисципліни.</w:t>
      </w:r>
    </w:p>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Основні етапи становлення та розвитку соціальної фармації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8329"/>
      </w:tblGrid>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Рік</w:t>
            </w:r>
          </w:p>
        </w:tc>
        <w:tc>
          <w:tcPr>
            <w:tcW w:w="8329" w:type="dxa"/>
          </w:tcPr>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Характеристика етапу</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1947 р.</w:t>
            </w:r>
          </w:p>
        </w:tc>
        <w:tc>
          <w:tcPr>
            <w:tcW w:w="832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Поява перших згадувань про соціальні та біхевіористичні науки у фармації у ЗВО Європи та США. Відкриття першої кафедри СФ у Софійському медичному університеті (Болгарія).</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1957 р.</w:t>
            </w:r>
          </w:p>
        </w:tc>
        <w:tc>
          <w:tcPr>
            <w:tcW w:w="832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Внесення курсу «соціальна фармація і закони/правила в фармації» до навчальних програм у Швеції.</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1969 р.</w:t>
            </w:r>
          </w:p>
        </w:tc>
        <w:tc>
          <w:tcPr>
            <w:tcW w:w="832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Перша конференція у США в Медсоні (штат Вісконсин), присвячена обговоренню проблем, переваг та можливостей викладання досліджень суспільних наук у фармації.</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1972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Внесення навчальної дисципліни «Соціальна фармація» до навчального плану підготовки фармацевтичних фахівців у Данії.</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1974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Видання підручника «Фармацевтична практика: соціальні та біхевіористичні аспекти» (Pharmacy practice: social and behavioral aspects) авторів Albert I. Wertheimer та Mickey C. Smith.</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1975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Рішення Ради фармацевтичної освіти США щодо внесення до програм підготовки фармацевтичних фахівців дисципліни «Фармацевтичне управління» (Pharmacy Administration).</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1979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Обґрунтування американськими вченими загального визначення «біхевіористичної (поведінкової) фармації» (Johnson &amp; Wertheimer).</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1980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Перший воркшоп із соціальної фармації (м. Гельсінкі, Фінляндія).</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1986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Рішення Наффілдського комітету з фармацевтичних досліджень щодо внесення поведінкових наук до додипломного навчального плану фармацевтів. Викладання соціальних наук як окремих дисциплін у фармацевтичних школах Великої Британії.</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1992 р. </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Створення кафедри соціальної фармації в Королівській датській фармацевтичній школі.</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1993 р. </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Перші спроби визначення концепції соціальної фармації британськими вченими Geoffrey Harding та Kevin Taylor.</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1994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Створення першої кафедри соціальної фармації в країнах пострадянського простору, зокрема в Грузії у Тбіліському національному медичному університеті. </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1999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Створення кафедри соціальної фармації в Молдові у Державному університеті медицини і фармації ім. Тестеміцану.</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2003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Формування концепції соціальної фармації Sørensen EW. Активне впровадження соціально-орієнтованих дисциплін до програм підготовки фармацевтів у країнах Європи, Азії, Африки, США, ОАЕ, Ірану, Індонезії, Лівану, Малайзії, Непалу, Ємену, Єгипту, Аргентини, Колумбії, Чилі, Перу та ін.</w:t>
            </w:r>
          </w:p>
        </w:tc>
      </w:tr>
      <w:tr w:rsidR="0088636D" w:rsidRPr="00FD60CF"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2005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Створення об’єднаної кафедри фармацевтичної технології та соціальної фармації у Литовському університеті наук про здоров’я.</w:t>
            </w:r>
          </w:p>
        </w:tc>
      </w:tr>
      <w:tr w:rsidR="0088636D" w:rsidRPr="0088636D" w:rsidTr="00956B42">
        <w:trPr>
          <w:jc w:val="center"/>
        </w:trPr>
        <w:tc>
          <w:tcPr>
            <w:tcW w:w="1242" w:type="dxa"/>
          </w:tcPr>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2011 р.</w:t>
            </w:r>
          </w:p>
        </w:tc>
        <w:tc>
          <w:tcPr>
            <w:tcW w:w="8329"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Створення першої кафедри соціальної фармації в Україні в НФаУ</w:t>
            </w:r>
          </w:p>
        </w:tc>
      </w:tr>
    </w:tbl>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Необхідно зазначити, що загалом становлення СФ від початкового періоду й до сьогодні характеризується обґрунтованою необхідністю впровадження соціальних та біхевіористичних наук до навчальних програм підготовки ФП із подальшим додаванням СФ та споріднених дисциплін до навчальних програм, планів, а також створенням структурних підрозділів (кафедр ЗВО) та центрів із СФ, що стає передумовою до формування концепції СФ та подальшим впровадження її у практичну діяльність та функціонування фармацевтичного сектору сфериОЗ.</w:t>
      </w:r>
    </w:p>
    <w:p w:rsidR="0088636D" w:rsidRPr="0088636D" w:rsidRDefault="0088636D" w:rsidP="0088636D">
      <w:pPr>
        <w:numPr>
          <w:ilvl w:val="0"/>
          <w:numId w:val="1"/>
        </w:numPr>
        <w:tabs>
          <w:tab w:val="num" w:pos="0"/>
        </w:tabs>
        <w:suppressAutoHyphens/>
        <w:spacing w:after="0" w:line="240" w:lineRule="auto"/>
        <w:ind w:firstLine="567"/>
        <w:jc w:val="both"/>
        <w:rPr>
          <w:rFonts w:ascii="Times New Roman" w:eastAsia="Times New Roman" w:hAnsi="Times New Roman" w:cs="Times New Roman"/>
          <w:b/>
          <w:sz w:val="24"/>
          <w:szCs w:val="24"/>
          <w:lang w:eastAsia="ar-SA"/>
        </w:rPr>
      </w:pPr>
      <w:r w:rsidRPr="0088636D">
        <w:rPr>
          <w:rFonts w:ascii="Times New Roman" w:eastAsia="Times New Roman" w:hAnsi="Times New Roman" w:cs="Times New Roman"/>
          <w:i/>
          <w:sz w:val="24"/>
          <w:szCs w:val="24"/>
          <w:lang w:val="uk-UA" w:eastAsia="ar-SA"/>
        </w:rPr>
        <w:t>Визначення змісту та принципів концепції соціальної фармації в країнах світу та в</w:t>
      </w:r>
      <w:r w:rsidRPr="0088636D">
        <w:rPr>
          <w:rFonts w:ascii="Times New Roman" w:eastAsia="Times New Roman" w:hAnsi="Times New Roman" w:cs="Times New Roman"/>
          <w:b/>
          <w:sz w:val="24"/>
          <w:szCs w:val="24"/>
          <w:lang w:eastAsia="ar-SA"/>
        </w:rPr>
        <w:t xml:space="preserve"> </w:t>
      </w:r>
      <w:r w:rsidRPr="0088636D">
        <w:rPr>
          <w:rFonts w:ascii="Times New Roman" w:eastAsia="Times New Roman" w:hAnsi="Times New Roman" w:cs="Times New Roman"/>
          <w:i/>
          <w:sz w:val="24"/>
          <w:szCs w:val="24"/>
          <w:lang w:val="uk-UA" w:eastAsia="ar-SA"/>
        </w:rPr>
        <w:t>Україні</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Як відомо, основною складовою практичної діяльності ФП, зокрема провізора, виступають знання з хімії, біології, біохімії, фізіології, що формують загальні знання про ЛЗ. Крім цього,ФП досить часто, якщо не постійно, взаємодіє з людьми, й тому ще однією складовою практичної діяльності є знання з гуманітарних та соціальних наук.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Людина та суспільство загалом в процесі життєдіяльності мають тісний зв’язок із ліками, лікуванням й фармацією загалом. Серед багатьох питань, що вивчає </w:t>
      </w:r>
      <w:r w:rsidRPr="0088636D">
        <w:rPr>
          <w:rFonts w:ascii="Times New Roman" w:eastAsia="Times New Roman" w:hAnsi="Times New Roman" w:cs="Times New Roman"/>
          <w:i/>
          <w:sz w:val="24"/>
          <w:szCs w:val="24"/>
          <w:lang w:val="uk-UA" w:eastAsia="ar-SA"/>
        </w:rPr>
        <w:t>фармація</w:t>
      </w:r>
      <w:r w:rsidRPr="0088636D">
        <w:rPr>
          <w:rFonts w:ascii="Times New Roman" w:eastAsia="Times New Roman" w:hAnsi="Times New Roman" w:cs="Times New Roman"/>
          <w:sz w:val="24"/>
          <w:szCs w:val="24"/>
          <w:lang w:val="uk-UA" w:eastAsia="ar-SA"/>
        </w:rPr>
        <w:t xml:space="preserve">, визначають </w:t>
      </w:r>
      <w:r w:rsidRPr="0088636D">
        <w:rPr>
          <w:rFonts w:ascii="Times New Roman" w:eastAsia="Times New Roman" w:hAnsi="Times New Roman" w:cs="Times New Roman"/>
          <w:sz w:val="24"/>
          <w:szCs w:val="24"/>
          <w:lang w:val="uk-UA" w:eastAsia="ar-SA"/>
        </w:rPr>
        <w:lastRenderedPageBreak/>
        <w:t xml:space="preserve">також соціальні аспекти, зокрема у випадку розробки, досліджень, виробництва, розподілу, виписування, відпуску, контролю якості ЛЗ. У </w:t>
      </w:r>
      <w:r w:rsidRPr="0088636D">
        <w:rPr>
          <w:rFonts w:ascii="Times New Roman" w:eastAsia="Times New Roman" w:hAnsi="Times New Roman" w:cs="Times New Roman"/>
          <w:i/>
          <w:sz w:val="24"/>
          <w:szCs w:val="24"/>
          <w:lang w:val="uk-UA" w:eastAsia="ar-SA"/>
        </w:rPr>
        <w:t>суспільних питаннях</w:t>
      </w:r>
      <w:r w:rsidRPr="0088636D">
        <w:rPr>
          <w:rFonts w:ascii="Times New Roman" w:eastAsia="Times New Roman" w:hAnsi="Times New Roman" w:cs="Times New Roman"/>
          <w:sz w:val="24"/>
          <w:szCs w:val="24"/>
          <w:lang w:val="uk-UA" w:eastAsia="ar-SA"/>
        </w:rPr>
        <w:t>, які стосуються соціальних сфер життєдіяльності людини, важливим є вивчення впливу соціальних факторів на використання ЛЗ, на підходи у фармакотерапії, на ставлення пацієнтів до ліків, а також до призначень лікаря.</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Тому немає жодних сумнівів, що </w:t>
      </w:r>
      <w:r w:rsidRPr="0088636D">
        <w:rPr>
          <w:rFonts w:ascii="Times New Roman" w:eastAsia="Times New Roman" w:hAnsi="Times New Roman" w:cs="Times New Roman"/>
          <w:i/>
          <w:sz w:val="24"/>
          <w:szCs w:val="24"/>
          <w:lang w:val="uk-UA" w:eastAsia="ar-SA"/>
        </w:rPr>
        <w:t>основним завданням соціальної фармації</w:t>
      </w:r>
      <w:r w:rsidRPr="0088636D">
        <w:rPr>
          <w:rFonts w:ascii="Times New Roman" w:eastAsia="Times New Roman" w:hAnsi="Times New Roman" w:cs="Times New Roman"/>
          <w:sz w:val="24"/>
          <w:szCs w:val="24"/>
          <w:lang w:val="uk-UA" w:eastAsia="ar-SA"/>
        </w:rPr>
        <w:t xml:space="preserve"> є дослідження ЛЗ у суспільно-соціальному, науковому, гуманітарному напрямках. Також можна стверджувати, що СФ спрямована на вивчення фармацевтичних проблем у суспільстві та соціальних проблем у фармації.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 погляду загальної фармації та з погляду окремого пацієнта питання, що розглядаються СФ, можна поділити відповідно на два напрямки. У сфері фармації СФ передбачає вивчення та встановлення  впливу нових ЛЗ на здоров’я людини та економіку країни загалом, впливу чинного законодавства на розробку та вдосконалення нових ЛЗ, усвідомлення ФП їх ролі у надані фармацевтичної допомоги та послуги тощо.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 </w:t>
      </w:r>
      <w:r w:rsidRPr="0088636D">
        <w:rPr>
          <w:rFonts w:ascii="Times New Roman" w:eastAsia="Times New Roman" w:hAnsi="Times New Roman" w:cs="Times New Roman"/>
          <w:i/>
          <w:sz w:val="24"/>
          <w:szCs w:val="24"/>
          <w:lang w:val="uk-UA" w:eastAsia="ar-SA"/>
        </w:rPr>
        <w:t>погляду пацієнта</w:t>
      </w:r>
      <w:r w:rsidRPr="0088636D">
        <w:rPr>
          <w:rFonts w:ascii="Times New Roman" w:eastAsia="Times New Roman" w:hAnsi="Times New Roman" w:cs="Times New Roman"/>
          <w:sz w:val="24"/>
          <w:szCs w:val="24"/>
          <w:lang w:val="uk-UA" w:eastAsia="ar-SA"/>
        </w:rPr>
        <w:t xml:space="preserve">, СФ вивчає ставлення пацієнта до ліків та лікарських призначень, питання комплаєнтності пацієнта, найбільш ефективні способи надання йому інформації про ЛЗ, методи ідентифікації негативного впливу або побічного ефекту ЛЗ, нові підходи у наданні фармацевтичної допомоги, тобто соціоповедінкові аспекти в процесі лікування з метою досягнення оптимальних клінічних та гуманістичних результатів від фармакотерапії.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Як свідчить міжнародний досвід, зміни соціального, економічного, політичного характеру, а також залежність стану здоров’я населення від вказаних змін стали основними </w:t>
      </w:r>
      <w:r w:rsidRPr="0088636D">
        <w:rPr>
          <w:rFonts w:ascii="Times New Roman" w:eastAsia="Times New Roman" w:hAnsi="Times New Roman" w:cs="Times New Roman"/>
          <w:i/>
          <w:spacing w:val="-2"/>
          <w:sz w:val="24"/>
          <w:szCs w:val="24"/>
          <w:lang w:val="uk-UA" w:eastAsia="ar-SA"/>
        </w:rPr>
        <w:t>передумовами виникнення та розвитку соціальної фармації</w:t>
      </w:r>
      <w:r w:rsidRPr="0088636D">
        <w:rPr>
          <w:rFonts w:ascii="Times New Roman" w:eastAsia="Times New Roman" w:hAnsi="Times New Roman" w:cs="Times New Roman"/>
          <w:spacing w:val="-2"/>
          <w:sz w:val="24"/>
          <w:szCs w:val="24"/>
          <w:lang w:val="uk-UA" w:eastAsia="ar-SA"/>
        </w:rPr>
        <w:t xml:space="preserve"> в країнах світу. Окрім того, відбулося переорієнтування освіти фахівців ОЗ з урахуванням соціальних підходів, що обумовило значну зміну ролі ФП у процесі фармакотерапії зокрема та в суспільстві загалом.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 погляду соціальної фармації практична діяльність фармацевта передбачає його участь та відповідальність за результати фармакотерапії на соціальному рівні. Тому СФ розглядають сьогодні як міждисциплінарну та міжгалузеву науку, яка поєднує фундаментальні, клінічні та соціологічні науки, їх теоретичні підходи та методи з метою вивчення та дослідження фармацевтичної практики. Дослідження в галузі СФ спрямовані на визначення взаємозв’язку з метою подальшої розробки та оцінювання заходів, які забезпечують покращення результатів фармакотерапії.</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pacing w:val="-4"/>
          <w:sz w:val="24"/>
          <w:szCs w:val="24"/>
          <w:lang w:val="uk-UA" w:eastAsia="ar-SA"/>
        </w:rPr>
      </w:pPr>
      <w:r w:rsidRPr="0088636D">
        <w:rPr>
          <w:rFonts w:ascii="Times New Roman" w:eastAsia="Times New Roman" w:hAnsi="Times New Roman" w:cs="Times New Roman"/>
          <w:spacing w:val="-4"/>
          <w:sz w:val="24"/>
          <w:szCs w:val="24"/>
          <w:lang w:val="uk-UA" w:eastAsia="ar-SA"/>
        </w:rPr>
        <w:t xml:space="preserve">Починаючи з 60-х років, фармацевтична наука значно змінюється й перетворюється з науки, яка базується на парадигмах, на науку з більш широким пошуком та предметом вивчення, що, безумовно, вимагає зміни мислення суспільства. Необхідно зазначити, що виникнення терміна «соціальна фармація» відбулося насамперед завдяки вивченню ЛЗ крізь призму суспільних відносин. Дослідники тих часів із метою пошуку відповідей на комплексні питання, що стосуються медицини, фармації та суспільства, використовували методи та інструменти інших соціальних наук, зокрема антропології, соціології, історії, економіки, організаційних наук.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Також однією з передумов виникнення терміна «соціальна фармація», зокрема, в країнах Північної Європи стало те, що стрімкий розвиток фармацевтичного ринку, виникнення нових захворювань, поширення самолікування серед населення обумовили необхідність вивчення ЛЗ не лише як хімічних сполук, а також як частини системи охорони здоров’я.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Саме термін «соціальна фармація» у той час надавав іншого значення розумінню ролі ЛЗ для суспільства й забезпечував їх оцінювання з урахуванням правових, етичних, економічних, політичних, соціальних та комунікаційних чинників, а також психологічних аспектів безпечного та раціонального застосування ліків.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Підґрунтям для формування концепції соціальної фармації в широкому розумінні стало додавання елементів теорій соціальних та поведінкових наук до системи фармацевтичного забезпечення населення. Серед загальних підходів до фармацевтичної практики та раціонального використання ЛЗ згодом визначено низку соціальних чинників, які безпосередньо впливають на застосування ЛЗ, серед яких, зокрема, – переконання, що пов’язані з ліками, законодавство країни, лікарська політика, фармацевтична інформація, етика та поведінка фармацевта.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 xml:space="preserve">Новими випробуваннями, які постали перед системами охорони здоров’я та фармації багатьох країн світу в сучасних умовах розвитку, стали збільшення випуску нових дорогих ліків, нерівномірне забезпечення необхідними ЛЗ населення, підвищення рівня самолікування, зміна ролі аптеки та фармацевта в суспільстві, зміна ставлення пацієнта до якості фармацевтичного забезпечення, що обумовлює формування СФ як частини системи, яка займається проблематикою, а також розв’язанням проблем, пов’язаних із наведеними випробуваннями. У багатьох країнах світу, як свідчить міжнародний досвід, СФ існує як незалежна галузь досліджень та навчальна дисципліна. Згодом, з початку 90-х років, відзначають широкий підхід у формуванні загальної концепції, що надає можливість забезпечення більшої гнучкості та відповідності у розв’язанні актуальних питань взаємозв’язку ліків, суспільства та фармацевтів.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Немає жодних сумнівів, що формування концепції СФ обумовлює також підготовку відповідних спеціалістів фармації, здатних адаптуватися до постійних змін у суспільстві та на фармацевтичних ринках країн світу.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На думку датських науковців </w:t>
      </w:r>
      <w:r w:rsidRPr="0088636D">
        <w:rPr>
          <w:rFonts w:ascii="Times New Roman" w:eastAsia="Times New Roman" w:hAnsi="Times New Roman" w:cs="Times New Roman"/>
          <w:i/>
          <w:sz w:val="24"/>
          <w:szCs w:val="24"/>
          <w:lang w:val="uk-UA" w:eastAsia="ar-SA"/>
        </w:rPr>
        <w:t xml:space="preserve">S. K. Sporrong, L. S. Norgaard, H. Wallach-Kildemoes, L. Cantarero-Arevalo </w:t>
      </w:r>
      <w:r w:rsidRPr="0088636D">
        <w:rPr>
          <w:rFonts w:ascii="Times New Roman" w:eastAsia="Times New Roman" w:hAnsi="Times New Roman" w:cs="Times New Roman"/>
          <w:sz w:val="24"/>
          <w:szCs w:val="24"/>
          <w:lang w:val="uk-UA" w:eastAsia="ar-SA"/>
        </w:rPr>
        <w:t>та</w:t>
      </w:r>
      <w:r w:rsidRPr="0088636D">
        <w:rPr>
          <w:rFonts w:ascii="Times New Roman" w:eastAsia="Times New Roman" w:hAnsi="Times New Roman" w:cs="Times New Roman"/>
          <w:i/>
          <w:sz w:val="24"/>
          <w:szCs w:val="24"/>
          <w:lang w:val="uk-UA" w:eastAsia="ar-SA"/>
        </w:rPr>
        <w:t xml:space="preserve"> S. Kaae,</w:t>
      </w:r>
      <w:r w:rsidRPr="0088636D">
        <w:rPr>
          <w:rFonts w:ascii="Times New Roman" w:eastAsia="Times New Roman" w:hAnsi="Times New Roman" w:cs="Times New Roman"/>
          <w:sz w:val="24"/>
          <w:szCs w:val="24"/>
          <w:lang w:val="uk-UA" w:eastAsia="ar-SA"/>
        </w:rPr>
        <w:t xml:space="preserve"> СФ визначається як наука, що вивчає систему охорони здоров’я та фармацевтичний сектор із погляду соціальних наук, гуманістичних та соціальних перспектив.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Як свідчить міжнародний досвід, концепція соціальної фармації простежується в </w:t>
      </w:r>
      <w:r w:rsidRPr="0088636D">
        <w:rPr>
          <w:rFonts w:ascii="Times New Roman" w:eastAsia="Times New Roman" w:hAnsi="Times New Roman" w:cs="Times New Roman"/>
          <w:i/>
          <w:sz w:val="24"/>
          <w:szCs w:val="24"/>
          <w:lang w:val="uk-UA" w:eastAsia="ar-SA"/>
        </w:rPr>
        <w:t>англосаксонській</w:t>
      </w:r>
      <w:r w:rsidRPr="0088636D">
        <w:rPr>
          <w:rFonts w:ascii="Times New Roman" w:eastAsia="Times New Roman" w:hAnsi="Times New Roman" w:cs="Times New Roman"/>
          <w:sz w:val="24"/>
          <w:szCs w:val="24"/>
          <w:lang w:val="uk-UA" w:eastAsia="ar-SA"/>
        </w:rPr>
        <w:t xml:space="preserve"> медичній літературі, де використовуються назви «фармацевтична практика» або «фармацевтична політика». У </w:t>
      </w:r>
      <w:r w:rsidRPr="0088636D">
        <w:rPr>
          <w:rFonts w:ascii="Times New Roman" w:eastAsia="Times New Roman" w:hAnsi="Times New Roman" w:cs="Times New Roman"/>
          <w:i/>
          <w:sz w:val="24"/>
          <w:szCs w:val="24"/>
          <w:lang w:val="uk-UA" w:eastAsia="ar-SA"/>
        </w:rPr>
        <w:t>Північній Америці</w:t>
      </w:r>
      <w:r w:rsidRPr="0088636D">
        <w:rPr>
          <w:rFonts w:ascii="Times New Roman" w:eastAsia="Times New Roman" w:hAnsi="Times New Roman" w:cs="Times New Roman"/>
          <w:sz w:val="24"/>
          <w:szCs w:val="24"/>
          <w:lang w:val="uk-UA" w:eastAsia="ar-SA"/>
        </w:rPr>
        <w:t xml:space="preserve"> також застосовується визначення «фармацевтична практика», який як наукова дисципліна передбачає вивчення ролі аптеки та ФП у суспільстві, а також вивчення різних аспектів застосування ЛЗ. У </w:t>
      </w:r>
      <w:r w:rsidRPr="0088636D">
        <w:rPr>
          <w:rFonts w:ascii="Times New Roman" w:eastAsia="Times New Roman" w:hAnsi="Times New Roman" w:cs="Times New Roman"/>
          <w:i/>
          <w:sz w:val="24"/>
          <w:szCs w:val="24"/>
          <w:lang w:val="uk-UA" w:eastAsia="ar-SA"/>
        </w:rPr>
        <w:t>ВеликійБританії</w:t>
      </w:r>
      <w:r w:rsidRPr="0088636D">
        <w:rPr>
          <w:rFonts w:ascii="Times New Roman" w:eastAsia="Times New Roman" w:hAnsi="Times New Roman" w:cs="Times New Roman"/>
          <w:sz w:val="24"/>
          <w:szCs w:val="24"/>
          <w:lang w:val="uk-UA" w:eastAsia="ar-SA"/>
        </w:rPr>
        <w:t xml:space="preserve"> поняття «соціальна фармація» відносно нове, його найчастіше називають терміном «фармацевтична практика».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На думку британських науковців Geoffrey Harding та Kevin Taylor, спочатку термін «соціальна фармація» вважався синонімом до термінів «демографія використання ЛЗ» та «фармакоепідеміологія», але на сьогодні предмет дослідження СФ є значно ширшим, ніж фармацевтичний нагляд за використанням ЛЗ. Науковцями G. Harding та K. Taylor доведено, що СФ не можна прирівнювати до соціології у фармації, що істотно відрізняє соціальну фармацію від визначення, наданого E. W. Sorensen та ін., які розглядали її більшою мірою з погляду соціології, на відміну від фармацевтичної перспективи її розвитку.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Як бачимо, поняття «соціальна фармація» поширено в </w:t>
      </w:r>
      <w:r w:rsidRPr="0088636D">
        <w:rPr>
          <w:rFonts w:ascii="Times New Roman" w:eastAsia="Times New Roman" w:hAnsi="Times New Roman" w:cs="Times New Roman"/>
          <w:i/>
          <w:sz w:val="24"/>
          <w:szCs w:val="24"/>
          <w:lang w:val="uk-UA" w:eastAsia="ar-SA"/>
        </w:rPr>
        <w:t>Сполучених Штатах Америки, Великій Британії, Данії,</w:t>
      </w:r>
      <w:r w:rsidRPr="0088636D">
        <w:rPr>
          <w:rFonts w:ascii="Times New Roman" w:eastAsia="Times New Roman" w:hAnsi="Times New Roman" w:cs="Times New Roman"/>
          <w:sz w:val="24"/>
          <w:szCs w:val="24"/>
          <w:lang w:val="uk-UA" w:eastAsia="ar-SA"/>
        </w:rPr>
        <w:t xml:space="preserve"> однак найбільш широко цей термін використовується в північних країнах та країнах Східної Європи. Якщо розглядати зміст СФ, то, зокрема, у </w:t>
      </w:r>
      <w:r w:rsidRPr="0088636D">
        <w:rPr>
          <w:rFonts w:ascii="Times New Roman" w:eastAsia="Times New Roman" w:hAnsi="Times New Roman" w:cs="Times New Roman"/>
          <w:i/>
          <w:sz w:val="24"/>
          <w:szCs w:val="24"/>
          <w:lang w:val="uk-UA" w:eastAsia="ar-SA"/>
        </w:rPr>
        <w:t>США</w:t>
      </w:r>
      <w:r w:rsidRPr="0088636D">
        <w:rPr>
          <w:rFonts w:ascii="Times New Roman" w:eastAsia="Times New Roman" w:hAnsi="Times New Roman" w:cs="Times New Roman"/>
          <w:sz w:val="24"/>
          <w:szCs w:val="24"/>
          <w:lang w:val="uk-UA" w:eastAsia="ar-SA"/>
        </w:rPr>
        <w:t xml:space="preserve"> основними її складовими вважаються фармакоепідеміологія, фармакоекономіка та фармацевтична політика. У </w:t>
      </w:r>
      <w:r w:rsidRPr="0088636D">
        <w:rPr>
          <w:rFonts w:ascii="Times New Roman" w:eastAsia="Times New Roman" w:hAnsi="Times New Roman" w:cs="Times New Roman"/>
          <w:i/>
          <w:sz w:val="24"/>
          <w:szCs w:val="24"/>
          <w:lang w:val="uk-UA" w:eastAsia="ar-SA"/>
        </w:rPr>
        <w:t>країнах Європи</w:t>
      </w:r>
      <w:r w:rsidRPr="0088636D">
        <w:rPr>
          <w:rFonts w:ascii="Times New Roman" w:eastAsia="Times New Roman" w:hAnsi="Times New Roman" w:cs="Times New Roman"/>
          <w:sz w:val="24"/>
          <w:szCs w:val="24"/>
          <w:lang w:val="uk-UA" w:eastAsia="ar-SA"/>
        </w:rPr>
        <w:t xml:space="preserve"> СФ розглядається як самостійна галузь, яка зазвичай охоплює фармацевтичне законодавство, фінансування фармацевтичного сектору, суспільне здоров’я, фармацевтичну демографію, форми надання фармацевтичної допомоги, її якість, фармакоінформатику, основи етики та професійної поведінки фармацевта, принципи зміцнення здоров’я та профілактику захворювань. </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 огляду на вищезазначене можна сформувати такі принципи соціальної фармації:</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гуманізм</w:t>
      </w:r>
      <w:r w:rsidRPr="0088636D">
        <w:rPr>
          <w:rFonts w:ascii="Times New Roman" w:eastAsia="Times New Roman" w:hAnsi="Times New Roman" w:cs="Times New Roman"/>
          <w:sz w:val="24"/>
          <w:szCs w:val="24"/>
          <w:lang w:eastAsia="ru-RU"/>
        </w:rPr>
        <w:t xml:space="preserve"> – визнання життя та здоров’я людини найвищою цінністю;</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 xml:space="preserve">соціальна справедливість </w:t>
      </w:r>
      <w:r w:rsidRPr="0088636D">
        <w:rPr>
          <w:rFonts w:ascii="Times New Roman" w:eastAsia="Times New Roman" w:hAnsi="Times New Roman" w:cs="Times New Roman"/>
          <w:sz w:val="24"/>
          <w:szCs w:val="24"/>
          <w:lang w:eastAsia="ru-RU"/>
        </w:rPr>
        <w:t>(</w:t>
      </w:r>
      <w:r w:rsidRPr="0088636D">
        <w:rPr>
          <w:rFonts w:ascii="Times New Roman" w:eastAsia="Times New Roman" w:hAnsi="Times New Roman" w:cs="Times New Roman"/>
          <w:i/>
          <w:sz w:val="24"/>
          <w:szCs w:val="24"/>
          <w:lang w:eastAsia="ru-RU"/>
        </w:rPr>
        <w:t>доступність</w:t>
      </w:r>
      <w:r w:rsidRPr="0088636D">
        <w:rPr>
          <w:rFonts w:ascii="Times New Roman" w:eastAsia="Times New Roman" w:hAnsi="Times New Roman" w:cs="Times New Roman"/>
          <w:sz w:val="24"/>
          <w:szCs w:val="24"/>
          <w:lang w:eastAsia="ru-RU"/>
        </w:rPr>
        <w:t>) – рівний доступ до фармацевтичної допомоги для усіх верств населення;</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суспільна доцільність (соціальна ефективність)</w:t>
      </w:r>
      <w:r w:rsidRPr="0088636D">
        <w:rPr>
          <w:rFonts w:ascii="Times New Roman" w:eastAsia="Times New Roman" w:hAnsi="Times New Roman" w:cs="Times New Roman"/>
          <w:sz w:val="24"/>
          <w:szCs w:val="24"/>
          <w:lang w:eastAsia="ru-RU"/>
        </w:rPr>
        <w:t>– контингентиспоживачів ЛЗ, які захищенідержавою та мають пільги в наданні фармацевтичної допомоги, обмежені потребами та наявним фінансуванням;</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i/>
          <w:sz w:val="24"/>
          <w:szCs w:val="24"/>
          <w:lang w:eastAsia="ru-RU"/>
        </w:rPr>
      </w:pPr>
      <w:r w:rsidRPr="0088636D">
        <w:rPr>
          <w:rFonts w:ascii="Times New Roman" w:eastAsia="Times New Roman" w:hAnsi="Times New Roman" w:cs="Times New Roman"/>
          <w:i/>
          <w:sz w:val="24"/>
          <w:szCs w:val="24"/>
          <w:lang w:eastAsia="ru-RU"/>
        </w:rPr>
        <w:t>законодавчаврегульованість</w:t>
      </w:r>
      <w:r w:rsidRPr="0088636D">
        <w:rPr>
          <w:rFonts w:ascii="Times New Roman" w:eastAsia="Times New Roman" w:hAnsi="Times New Roman" w:cs="Times New Roman"/>
          <w:sz w:val="24"/>
          <w:szCs w:val="24"/>
          <w:lang w:eastAsia="ru-RU"/>
        </w:rPr>
        <w:t xml:space="preserve"> – затвердження та імплементаціяусіх механізмів фармацевтичного забезпечення населення чинними нормативно-правовими актами;</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управління якістю</w:t>
      </w:r>
      <w:r w:rsidRPr="0088636D">
        <w:rPr>
          <w:rFonts w:ascii="Times New Roman" w:eastAsia="Times New Roman" w:hAnsi="Times New Roman" w:cs="Times New Roman"/>
          <w:sz w:val="24"/>
          <w:szCs w:val="24"/>
          <w:lang w:eastAsia="ru-RU"/>
        </w:rPr>
        <w:t>– розробка та дотримання відповідних норм та стандартів фармацевтичного забезпечення;</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lastRenderedPageBreak/>
        <w:t xml:space="preserve">персонолізованість </w:t>
      </w:r>
      <w:r w:rsidRPr="0088636D">
        <w:rPr>
          <w:rFonts w:ascii="Times New Roman" w:eastAsia="Times New Roman" w:hAnsi="Times New Roman" w:cs="Times New Roman"/>
          <w:sz w:val="24"/>
          <w:szCs w:val="24"/>
          <w:lang w:eastAsia="ru-RU"/>
        </w:rPr>
        <w:t>– урахування психологічних та поведінкових особливостей кожного споживача ЛЗ;</w:t>
      </w:r>
    </w:p>
    <w:p w:rsidR="0088636D" w:rsidRPr="0088636D" w:rsidRDefault="0088636D" w:rsidP="0088636D">
      <w:pPr>
        <w:numPr>
          <w:ilvl w:val="0"/>
          <w:numId w:val="4"/>
        </w:numPr>
        <w:suppressAutoHyphens/>
        <w:spacing w:after="0" w:line="240" w:lineRule="auto"/>
        <w:ind w:firstLine="851"/>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 xml:space="preserve">соціальна відповідальність </w:t>
      </w:r>
      <w:r w:rsidRPr="0088636D">
        <w:rPr>
          <w:rFonts w:ascii="Times New Roman" w:eastAsia="Times New Roman" w:hAnsi="Times New Roman" w:cs="Times New Roman"/>
          <w:sz w:val="24"/>
          <w:szCs w:val="24"/>
          <w:lang w:eastAsia="ru-RU"/>
        </w:rPr>
        <w:t>– свідоме здійснення професійного обов’язку ФП перед суспільством;</w:t>
      </w:r>
    </w:p>
    <w:p w:rsidR="0088636D" w:rsidRPr="0088636D" w:rsidRDefault="0088636D" w:rsidP="0088636D">
      <w:pPr>
        <w:numPr>
          <w:ilvl w:val="0"/>
          <w:numId w:val="4"/>
        </w:numPr>
        <w:suppressAutoHyphens/>
        <w:spacing w:after="0" w:line="240" w:lineRule="auto"/>
        <w:ind w:firstLine="567"/>
        <w:contextualSpacing/>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i/>
          <w:sz w:val="24"/>
          <w:szCs w:val="24"/>
          <w:lang w:eastAsia="ru-RU"/>
        </w:rPr>
        <w:t>фахова</w:t>
      </w:r>
      <w:r w:rsidRPr="0088636D">
        <w:rPr>
          <w:rFonts w:ascii="Times New Roman" w:eastAsia="Times New Roman" w:hAnsi="Times New Roman" w:cs="Times New Roman"/>
          <w:i/>
          <w:sz w:val="24"/>
          <w:szCs w:val="24"/>
          <w:lang w:val="uk-UA" w:eastAsia="ru-RU"/>
        </w:rPr>
        <w:t xml:space="preserve"> </w:t>
      </w:r>
      <w:r w:rsidRPr="0088636D">
        <w:rPr>
          <w:rFonts w:ascii="Times New Roman" w:eastAsia="Times New Roman" w:hAnsi="Times New Roman" w:cs="Times New Roman"/>
          <w:i/>
          <w:sz w:val="24"/>
          <w:szCs w:val="24"/>
          <w:lang w:eastAsia="ru-RU"/>
        </w:rPr>
        <w:t>компетентність</w:t>
      </w:r>
      <w:r w:rsidRPr="0088636D">
        <w:rPr>
          <w:rFonts w:ascii="Times New Roman" w:eastAsia="Times New Roman" w:hAnsi="Times New Roman" w:cs="Times New Roman"/>
          <w:sz w:val="24"/>
          <w:szCs w:val="24"/>
          <w:lang w:eastAsia="ru-RU"/>
        </w:rPr>
        <w:t>– урахування всіх аспектів СФ під час підготовки працівників для фармацевтичного сектору галузі ОЗ.</w:t>
      </w:r>
    </w:p>
    <w:p w:rsidR="0088636D" w:rsidRPr="0088636D" w:rsidRDefault="0088636D" w:rsidP="0088636D">
      <w:pPr>
        <w:suppressAutoHyphens/>
        <w:spacing w:after="0" w:line="240" w:lineRule="auto"/>
        <w:ind w:firstLine="709"/>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Процеси реформування галузі ОЗ не оминають і фармацевтичний сектор України, зміни у якому відбуваються з урахуванням принципів СФ, що відповідає загальносвітовим тенденціям. Відповідно до визначення, запропонованого науковцями кафедри СФ Національного фармацевтичного університету (НФаУ), </w:t>
      </w:r>
      <w:r w:rsidRPr="0088636D">
        <w:rPr>
          <w:rFonts w:ascii="Times New Roman" w:eastAsia="Times New Roman" w:hAnsi="Times New Roman" w:cs="Times New Roman"/>
          <w:i/>
          <w:spacing w:val="-2"/>
          <w:sz w:val="24"/>
          <w:szCs w:val="24"/>
          <w:lang w:val="uk-UA" w:eastAsia="ar-SA"/>
        </w:rPr>
        <w:t>соціальна фармація</w:t>
      </w:r>
      <w:r w:rsidRPr="0088636D">
        <w:rPr>
          <w:rFonts w:ascii="Times New Roman" w:eastAsia="Times New Roman" w:hAnsi="Times New Roman" w:cs="Times New Roman"/>
          <w:spacing w:val="-2"/>
          <w:sz w:val="24"/>
          <w:szCs w:val="24"/>
          <w:lang w:val="uk-UA" w:eastAsia="ar-SA"/>
        </w:rPr>
        <w:t> – інтегративна прикладна наука, яка розглядає соціальні відносини в межах фармацевтичної діяльності в ринкових умовах. Іншими словами, СФ вивчає стан надання фармацевтичної допомоги та фармацевтичних послуг, обґрунтовуючи комплекс організаційно-економічних, медико-фармацевтичних, соціально-суспільних заходів у соціальному, науковому та гуманітарному напрямках, які спрямовані на збереження, зміцнення й відновлення здоров’я людей шляхом використання ЛЗ, медичних виробів та інших товарів відповідно до вимог Належних практик та Етичного кодексу фармацевтичних працівників України.</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У сфері фармації як науки СФ передбачає вивчення та встановлення впливу нових ЛЗ на здоров’я людини та економіку країни загалом, впливу чинного законодавства на розробку та вдосконалення нових ЛЗ, усвідомлення ФП їхньої ролі у наданні ФД та послуги тощо. Водночас необхідно зазначити, що головним цільовим стейкхолдером СФ, а також будь-якого з етапів ефективного фармацевтичного забезпечення є пацієнт. Тому можна стверджувати, що ефективність лікування пацієнта насамперед залежить від взаємодії ЛЗ з організмом пацієнта, що є предметом вивчення фармакології, а також низки супутніх факторів, які впливають чи потенційно можуть вплинути на ефективність фармакотерапії, вивчення, аналіз та оцінювання яких і є однією із складових досліджень у сфері СФ.</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 огляду на це нами визначено психологічні (поведінкові), комунікативні та соціально-економічні фактори, що мають прямий (відбувається під час взаємодії пацієнта з ФП чи ЛЗ) та непрямий (умови, у яких знаходяться ФП чи пацієнт, а також дії інших суб’єктів галузі ОЗ щодо фармацевтичного забезпечення населення) вплив на ефективність ФД пацієнту. </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Необхідно зазначити, що важливим елементом СФ, який входить до сфери її вивчення як з погляду загальної фармації, так і з погляду пацієнта, є фармацевтичне право та законодавство, оскільки воно регулює та регламентує функціонування всіх елементів фармацевтичного забезпечення населення.</w:t>
      </w:r>
    </w:p>
    <w:p w:rsidR="0088636D" w:rsidRPr="0088636D" w:rsidRDefault="0088636D" w:rsidP="0088636D">
      <w:pPr>
        <w:numPr>
          <w:ilvl w:val="0"/>
          <w:numId w:val="1"/>
        </w:numPr>
        <w:tabs>
          <w:tab w:val="num" w:pos="0"/>
        </w:tabs>
        <w:suppressAutoHyphens/>
        <w:spacing w:after="0" w:line="240" w:lineRule="auto"/>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eastAsia="ar-SA"/>
        </w:rPr>
        <w:t>Організація контролю якості медичної</w:t>
      </w:r>
      <w:r w:rsidRPr="0088636D">
        <w:rPr>
          <w:rFonts w:ascii="Times New Roman" w:eastAsia="Times New Roman" w:hAnsi="Times New Roman" w:cs="Times New Roman"/>
          <w:i/>
          <w:sz w:val="24"/>
          <w:szCs w:val="24"/>
          <w:lang w:val="uk-UA" w:eastAsia="ar-SA"/>
        </w:rPr>
        <w:t xml:space="preserve"> </w:t>
      </w:r>
      <w:r w:rsidRPr="0088636D">
        <w:rPr>
          <w:rFonts w:ascii="Times New Roman" w:eastAsia="Times New Roman" w:hAnsi="Times New Roman" w:cs="Times New Roman"/>
          <w:i/>
          <w:sz w:val="24"/>
          <w:szCs w:val="24"/>
          <w:lang w:eastAsia="ar-SA"/>
        </w:rPr>
        <w:t>допомоги в закладах охорони здоров’я</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Оцінка якості медичної допомоги - визначення відповідності наданої медичної допомоги встановленим на даний час стандартам, очікуванням і потребам окремих пацієнтів і груп населення.</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Якість медичного обслуговування - якісне медичне обслуговування - це обслуговування, при якому ресурси організуються таким чином, щоб з максимальною ефективністю і безпечністю задовольняти медико-санітарні потреби тих, хто найбільш усього потребує допомоги, проводити профілактику і лікування без непотрібних витрат і відповідно до вимог найвищого рівня.</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Суб’єктами контролю виступають вповноважені органи за межами медичної установи (зовнішній контроль), адміністрація та керівники відділень/структурних підрозділів – безпосередньо в закладах охорони здоров’я (внутрішній контроль).</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Функції суб’єктів позавідомчого контролю якості медичної допомоги виконують Прокуратура України та органи, діяльність яких відбувається у сфері захисту прав споживачів, з правом прийняття владних рішень, а також страхові компанії – на основі укладених угод з надавачами та споживачами медичних послуг. До громадського контролю якості медичної допомоги залучені громадські організації, громадяни в процесі їх звернень до органів влади та керівників закладів охорони здоров’я з питань якості медичної допомоги, професійні медичні асоціації. Громадський контроль носить консультативний характер. Зовнішній відомчий контроль, згідно з Наказом МОЗ України від 28.09.2012 р. №752 «Про порядок контролю якості медичної допомоги», вповноважені здійснювати МОЗ України.. Обсяг повноважень зазначених </w:t>
      </w:r>
      <w:r w:rsidRPr="0088636D">
        <w:rPr>
          <w:rFonts w:ascii="Times New Roman" w:eastAsia="Times New Roman" w:hAnsi="Times New Roman" w:cs="Times New Roman"/>
          <w:spacing w:val="-2"/>
          <w:sz w:val="24"/>
          <w:szCs w:val="24"/>
          <w:lang w:val="uk-UA" w:eastAsia="ar-SA"/>
        </w:rPr>
        <w:lastRenderedPageBreak/>
        <w:t xml:space="preserve">суб’єктів управління охоплює сфери проведення ліцензування і акредитації закладів охорони здоров’я, стандартизації медичної допомоги, атестації спеціалістів, розгляду звернень громадян, і передбачає право винесення владних рішень, а також обов’язкових до виконання приписів і розпоряджень.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Внутрішній контроль якості, відповідно до діючих галузевих нормативно-правових документів, проводиться керівництвом та медичними радами закладів охорони здоров’я. Наказом МОЗ України від 28.09.2012 р. № 752 об’єктами контролю визначені структурні, процесуальні та результативні компоненти системи якості, зокрема, кваліфікація спеціалістів, організація медичної допомоги, реалізація управлінських рішень з питань якості, дотримання стандартів, протоколів медичної допомоги, випадки дефектів, несприятливих наслідків лікування та скарг громадян, забезпечення прав та безпеки пацієнтів, вивчення їх думки щодо отриманої медичної допомоги.</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Приклади критеріїв якості медичної допомоги відповідно до компонентів якості для закладів охорони здоров’я:</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Компонент якості 1. Спрямованість на пацієнта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1.1. Дотримуються права пацієнта згідно з чинним законодавством.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1.2. Дотримуються етичні та деонтологічні норми медичної діяльності.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1.3. Проводяться регулярні соціологічні опитування з метою виявлення очікувань, потреб та індивідуальних цінностей пацієнта</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Компонент якості 2. Результативність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2.1. Зміна клінічного стану у відповідності до очікуваної при даному захворюванні.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2.2. Медична допомога надається відповідно до локальних медико-технологічних документів, розроблених згідно з галузевими нормативами, гармонізованими з найкращим світовим досвідом на основі доказової медицини.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2.3. Має місце позитивна динаміка показників зниження рівня дефектів, несприятливих наслідків лікування внаслідок медичних втручань та скарг громадян в порівнянні з попереднім періодом діяльності.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2.4. Регулярно оцінюється задоволеність пацієнта результатом медичної допомоги та медичного обслуговування.</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Компонент якості 3.Безпека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3.1. Медична допомога надається відповідно до локальних медико-технологічних документів, розроблених згідно з галузевими нормативами, гармонізованими з найкращим світовим досвідом на основі доказової медицини.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3.2. Дотримуються стандарти ліцензування та акредитації за відповідними профілю діяльності закладу охорони здоров’я розділами.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Компонент якості 4. Доступність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4.1. Штатні посади медичних і немедичних працівників укомплектовані відповідно до нормативів.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4.2. Заклад охорони здоров’я укомплектований медичним обладнанням та виробами медичного призначення за табелями оснащення.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4.3. Наявні в закладі, доступні кожному медичному працівнику та дотримуються ним вимоги локальних медико-технологічних документів, стандартів, правил, методик, нормативів, інструкцій, інших регулюючих документів.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4.4. Встановлений і дотримується порядок взаємодії між структурними підрозділами закладу охорони здоров’я та закладу охорони здоров’я з іншими медичними і немедичними установами з питань організації надання медичної допомоги пацієнтам / населенню.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5. Економічна ефективність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5.1. Обсяг ресурсів для задоволення потреб цільових груп населення у медичній допомозі планується згідно з вимогами галузевих / локальних медико-технологічних документів.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5.2. Використовуються види і обсяги ресурсів відповідно до вимог галузевих / локальних медико-технологічних документів.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5.3. Тривалість лікувально-діагностичного процесу та його окремих складових за нозологіями відповідає діючим нормативам.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6. Своєчасність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lastRenderedPageBreak/>
        <w:t xml:space="preserve">6.1. Визначені і дотримуються тривалість очікування: - планової консультації спеціаліста згідно з рекомендованими нормативами; - планової госпіталізації згідно з рекомендованими нормативами; - планового оперативного втручання згідно з рекомендованими нормативами; - результатів лабораторних, функціональних, інших діагностичних досліджень.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6.2. Визначений порядок прийому лікаря в амбулаторних умовах.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6.3. Визначений час доїзду бригади екстреної медичної допомоги до хворого / постраждалого в залежності від місцевості згідно діючих нормативів.</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Організація проведення контролю якості медичної допомоги в закладі охорони здоров’я передбачає досягнення мети контролю шляхом виконання відповідних функцій суб’єктами контролю з використанням методів і технічних засобів контролю на основі визначених критеріїв.</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Так, економічна ефективність використання ресурсів оцінюється за допомогою клініко-економічного аналізу, який доцільно періодично проводити завідувачам відділень сумісно з вповноваженим представником економічної служби, клінічним фармакологом, старшою медичною сестрою відділення. До сучасних методів клініко-економічного аналізу відносять основні, за допомогою яких можливо розрахувати співвідношення між затратами і отриманими результатами (аналіз «затрати-ефективність», «мінімізація затрат», «затрати-корисність (утилітарність)», «затрати-вигода»), та допоміжні, зокрема, метод оцінки вартості «типової практики», методи оцінки структури затрат (частотний аналіз, АВС-аналіз, VENаналіз). Саме допоміжні методи клініко-економічного аналізу є найпростішими і тому найбільш доступними для широкого використання у закладах охорони здоров’я. Оцінка вартості «типової практики» дозволяє визначити усі витрати, пов’язані з веденням хворих з певною нозологічною формою і в подальшому оптимізувати планування ресурсів. АВС-аналіз дозволяє встановити, на які послуги / діагностичні дослідження або групи лікарських засобів переважно витрачаються кошти (бюджетні, страхові, власні кошти громадян), розподіляючи їх на три групи. Група А – група, на яку витрачається 80,0% коштів, група В – група, на яку витрачається 15, 0% усіх коштів, і група С – група, на яку витрачається 5,0% коштів. Частотний аналіз доповнює АВС-аналіз за рахунок ранжування послуг / діагностичних досліджень або лікарських засобів за кратністю їх використання, що допомагає з’ясувати, витрачаються кошти переважно на дороговартісні ресурси, які рідко призначаються, або на дешеві, але такі, що використовуються дуже часто. VEN-аналіз дозволяє розподілити послуги / діагностичні дослідження або лікарські засоби, які використані, на життєво важливі (V), необхідні (Е) і другорядні (N). Як правило, до V-групи відносять послуги або лікарські препарати, необхідні для лікування основного захворювання, до Е-групи – послуги або лікарські препарати для лікування супутніх захворювань та / або ускладнень основного, а до N-групи – дослідження та лікарські засоби, не рекомендовані до застосування стандартами / протоколами або формулярами лікарських засобів. Даний вид аналізу дозволяє зробити висновок про адекватність використання ресурсів при певному захворюванні. </w:t>
      </w:r>
    </w:p>
    <w:p w:rsidR="0088636D" w:rsidRPr="0088636D" w:rsidRDefault="0088636D" w:rsidP="0088636D">
      <w:pPr>
        <w:suppressAutoHyphens/>
        <w:spacing w:after="0" w:line="240" w:lineRule="auto"/>
        <w:ind w:firstLine="720"/>
        <w:jc w:val="both"/>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Соціологічні методи контролю передбачають вивчення думки пацієнтів стосовно якості отриманої ними медичної допомоги, а також виявлення очікувань, які є стійкими побажаннями або запитами пацієнтів для використання зазначеної інформації з метою планування заходів з поліпшення якості. Об’єктами соціологічних опитувань в системі контролю якості медичної допомоги виступають і медичні працівники, як учасники лікувально-діагностичного процесу та надавачі медичної допомоги. Вивчення задоволеності медичних працівників професійною діяльністю дозволяє надати, в комплексі з іншими даними, оцінку умов праці, інформаційного забезпечення, соціального захисту співробітників, залучення персоналу до участі в управлінні якістю медичної допомоги.</w:t>
      </w:r>
    </w:p>
    <w:p w:rsidR="0088636D" w:rsidRPr="0088636D" w:rsidRDefault="0088636D" w:rsidP="0088636D">
      <w:pPr>
        <w:spacing w:after="0" w:line="240" w:lineRule="auto"/>
        <w:jc w:val="both"/>
        <w:textAlignment w:val="baseline"/>
        <w:rPr>
          <w:rFonts w:ascii="Times New Roman" w:eastAsia="Times New Roman" w:hAnsi="Times New Roman" w:cs="Times New Roman"/>
          <w:spacing w:val="-2"/>
          <w:sz w:val="24"/>
          <w:szCs w:val="24"/>
          <w:lang w:val="uk-UA" w:eastAsia="ar-SA"/>
        </w:rPr>
      </w:pPr>
    </w:p>
    <w:p w:rsidR="0088636D" w:rsidRPr="0088636D" w:rsidRDefault="0088636D" w:rsidP="0088636D">
      <w:pPr>
        <w:numPr>
          <w:ilvl w:val="0"/>
          <w:numId w:val="1"/>
        </w:numPr>
        <w:tabs>
          <w:tab w:val="num" w:pos="0"/>
        </w:tabs>
        <w:suppressAutoHyphens/>
        <w:spacing w:after="0" w:line="240" w:lineRule="auto"/>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 xml:space="preserve">Складові компоненти </w:t>
      </w:r>
      <w:r w:rsidRPr="0088636D">
        <w:rPr>
          <w:rFonts w:ascii="Times New Roman" w:eastAsia="Times New Roman" w:hAnsi="Times New Roman" w:cs="Times New Roman"/>
          <w:i/>
          <w:sz w:val="24"/>
          <w:szCs w:val="24"/>
          <w:lang w:eastAsia="ar-SA"/>
        </w:rPr>
        <w:t xml:space="preserve"> якості </w:t>
      </w:r>
      <w:r w:rsidRPr="0088636D">
        <w:rPr>
          <w:rFonts w:ascii="Times New Roman" w:eastAsia="Times New Roman" w:hAnsi="Times New Roman" w:cs="Times New Roman"/>
          <w:i/>
          <w:sz w:val="24"/>
          <w:szCs w:val="24"/>
          <w:lang w:val="uk-UA" w:eastAsia="ar-SA"/>
        </w:rPr>
        <w:t xml:space="preserve">фармацевтичної </w:t>
      </w:r>
      <w:r w:rsidRPr="0088636D">
        <w:rPr>
          <w:rFonts w:ascii="Times New Roman" w:eastAsia="Times New Roman" w:hAnsi="Times New Roman" w:cs="Times New Roman"/>
          <w:i/>
          <w:sz w:val="24"/>
          <w:szCs w:val="24"/>
          <w:lang w:eastAsia="ar-SA"/>
        </w:rPr>
        <w:t xml:space="preserve">допомоги </w:t>
      </w:r>
      <w:r w:rsidRPr="0088636D">
        <w:rPr>
          <w:rFonts w:ascii="Times New Roman" w:eastAsia="Times New Roman" w:hAnsi="Times New Roman" w:cs="Times New Roman"/>
          <w:i/>
          <w:sz w:val="24"/>
          <w:szCs w:val="24"/>
          <w:lang w:val="uk-UA" w:eastAsia="ar-SA"/>
        </w:rPr>
        <w:t xml:space="preserve"> </w:t>
      </w:r>
    </w:p>
    <w:p w:rsidR="0088636D" w:rsidRPr="0088636D" w:rsidRDefault="0088636D" w:rsidP="0088636D">
      <w:pPr>
        <w:spacing w:after="0" w:line="240" w:lineRule="auto"/>
        <w:jc w:val="both"/>
        <w:textAlignment w:val="baseline"/>
        <w:rPr>
          <w:rFonts w:ascii="Times New Roman" w:eastAsia="Times New Roman" w:hAnsi="Times New Roman" w:cs="Times New Roman"/>
          <w:spacing w:val="-2"/>
          <w:sz w:val="24"/>
          <w:szCs w:val="24"/>
          <w:lang w:val="uk-UA" w:eastAsia="ar-SA"/>
        </w:rPr>
      </w:pPr>
    </w:p>
    <w:p w:rsidR="0088636D" w:rsidRPr="0088636D" w:rsidRDefault="0088636D" w:rsidP="0088636D">
      <w:pPr>
        <w:spacing w:after="0" w:line="240" w:lineRule="auto"/>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Фармацевтична допомога (англ. pharmaceutical aid) — комплекс організаційно-економічних, спеціальних (медико-фармацевтичних) і соціально-суспільних заходів, спрямованих на збереження, поліпшення та усунення фізичних і, як наслідок, моральних страждань людей з використанням ЛП і виробів медичного призначення. </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lastRenderedPageBreak/>
        <w:t xml:space="preserve">Фармацевтична допомога  надається незалежно від соціального й матеріального статусу громадян у суспільстві, расової та національної приналежності, віросповідання, громадянства, віку, статевої приналежності, сексуальної орієнтації. </w:t>
      </w:r>
    </w:p>
    <w:p w:rsidR="0088636D" w:rsidRPr="0088636D" w:rsidRDefault="0088636D" w:rsidP="0088636D">
      <w:pPr>
        <w:spacing w:after="0" w:line="240" w:lineRule="auto"/>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Фармацевтична допомога  має спеціальний (фармацевтичний), ринково-економічний та соціальний зміст. Складовими елементами її є процес забезпечення населення ЛП і медичними виробами, фармацевтична опіка, фармацевтична етика та деонтологія. До складу фармацевтичної опіки належать фармацевтичні профілактика та діагностика. Визначення терміну «фармацевтична допомога» знаходиться відповідно до змісту та вимог належної аптечної практики, запропонованої ВООЗ у 1996 р. Декларації про розвиток прав пацієнтів в Європі (Амстердам, 1994 р.), Європейської угоди з прав людини і біомедицини (Страсбург, 1996 р.), а також положень Конституції України, Всесвітньої медичної асоціації, Міжнародної організації споживачів, Етичного фармацевтичного кодексу (Code of Ethics for Pharmacists), розробленого Міжнародною федерацією фармацевтів, та проекту етичного Кодексу фармацевтичних працівників, розробленого на кафедрі ОЕФ НФаУ (2005).</w:t>
      </w:r>
    </w:p>
    <w:p w:rsidR="0088636D" w:rsidRPr="0088636D" w:rsidRDefault="0088636D" w:rsidP="0088636D">
      <w:pPr>
        <w:spacing w:after="0" w:line="240" w:lineRule="auto"/>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Фармацевтична допомога  надається на трьох основних рівнях: здоров’язберігаючому та життєзабезпечувальному, а також сервісному.</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Життєзабезпечувальний рівень надання гарантується державою й суспільством, забезпечується фінансовими інститутами національної системи охорони здоров’я, яка включає фармацію як складову системи охорони здоров’я та визначається використанням ЛП з метою збереження життєвих функцій людини, напр. лікування невідкладних станів, патологій, що загрожують життю пацієнтів.</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Здоров’язберігаючий рівень надання - гарантований державою й суспільством, забезпечений фінансовими інститутами національної системи охорони здоров’я, спрямований на підтримку, збереження та поліпшення здоров’я людей (лікування хвороб, травм та інших станів, що загрожують здоров’ю або працездатності пацієнта). </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Фармацевтична допомога , що надається на сервісному (комерційному) рівні за договірними цінами, має вартісну оцінку та назву фармацевтичної послуги. Надання фармацевтичної допомоги  на сервісному рівні у вигляді фармацевтичної послуги спрямоване на задоволення потреб населення, що знаходяться за межами державних соціальних гарантій.</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 xml:space="preserve">Якість надання фармацевтичної допомоги  на вказаних рівнях повинна контролюватися державою як гарантом соціальної стабільності в суспільстві. Похідним поняттям від фармацевтичної допомоги  є фармацевтична послуга, що надається населенню на сервісному рівні. Фармацевтичну допомогу  можна класифікувати за такими критеріями, як тип надання, обсяг надання, характер сплати вартості наданої допомоги. За типом надання фармацевтична допомога  буває амбулаторною та стаціонарною. За обсягом надання — стовідсоткова участь фармацевтів/провізорів, напр., організація рецептурного відпуску ліків, безрецептурного відпуску в межах відповідального самолікування і стаціонарного (загальнотерапевтичного та спеціалізованого профілю). </w:t>
      </w:r>
    </w:p>
    <w:p w:rsidR="0088636D" w:rsidRPr="0088636D" w:rsidRDefault="0088636D" w:rsidP="0088636D">
      <w:pPr>
        <w:spacing w:after="0" w:line="240" w:lineRule="auto"/>
        <w:ind w:firstLine="708"/>
        <w:jc w:val="both"/>
        <w:textAlignment w:val="baseline"/>
        <w:rPr>
          <w:rFonts w:ascii="Times New Roman" w:eastAsia="Times New Roman" w:hAnsi="Times New Roman" w:cs="Times New Roman"/>
          <w:spacing w:val="-2"/>
          <w:sz w:val="24"/>
          <w:szCs w:val="24"/>
          <w:lang w:val="uk-UA" w:eastAsia="ar-SA"/>
        </w:rPr>
      </w:pPr>
      <w:r w:rsidRPr="0088636D">
        <w:rPr>
          <w:rFonts w:ascii="Times New Roman" w:eastAsia="Times New Roman" w:hAnsi="Times New Roman" w:cs="Times New Roman"/>
          <w:spacing w:val="-2"/>
          <w:sz w:val="24"/>
          <w:szCs w:val="24"/>
          <w:lang w:val="uk-UA" w:eastAsia="ar-SA"/>
        </w:rPr>
        <w:t>За критерієм обсягу надання фармацевтичну допомогу  можна класифікувати як таку, що надана відповідно до затвердженого стандартами лікування в моделі обов’язкового медичного страхування та відповідно до фактичного споживання ЛП хворим. При сплаті вартості наданої фармацевтичної допомоги  використовуються такі джерела: ресурси централізованих страхових фондів у системі обов’язкового медичного страхування; державні кошти бюджетів різних рівнів, фонди цільових державних програм; власні кошти громадян; благодійні внески, гранти, кошти гуманітарних організацій та міжнародних фондів.</w:t>
      </w:r>
    </w:p>
    <w:p w:rsidR="0088636D" w:rsidRPr="0088636D" w:rsidRDefault="0088636D" w:rsidP="0088636D">
      <w:pPr>
        <w:spacing w:after="0" w:line="240" w:lineRule="auto"/>
        <w:jc w:val="both"/>
        <w:rPr>
          <w:rFonts w:ascii="Times New Roman" w:eastAsia="Times New Roman" w:hAnsi="Times New Roman" w:cs="Times New Roman"/>
          <w:b/>
          <w:bCs/>
          <w:color w:val="000000"/>
          <w:sz w:val="24"/>
          <w:szCs w:val="24"/>
          <w:lang w:val="uk-UA" w:eastAsia="uk-UA"/>
        </w:rPr>
      </w:pPr>
      <w:bookmarkStart w:id="1" w:name="_Hlk120954945"/>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val="uk-UA" w:eastAsia="uk-UA"/>
        </w:rPr>
      </w:pPr>
      <w:r w:rsidRPr="0088636D">
        <w:rPr>
          <w:rFonts w:ascii="Times New Roman" w:eastAsia="Times New Roman" w:hAnsi="Times New Roman" w:cs="Times New Roman"/>
          <w:b/>
          <w:bCs/>
          <w:color w:val="000000"/>
          <w:sz w:val="24"/>
          <w:szCs w:val="24"/>
          <w:lang w:val="uk-UA" w:eastAsia="uk-UA"/>
        </w:rPr>
        <w:t>Загальне матеріальне та навально-методичне забезпечення лекції:</w:t>
      </w:r>
    </w:p>
    <w:p w:rsidR="0088636D" w:rsidRPr="0088636D" w:rsidRDefault="0088636D" w:rsidP="008512F9">
      <w:pPr>
        <w:numPr>
          <w:ilvl w:val="0"/>
          <w:numId w:val="5"/>
        </w:numPr>
        <w:suppressAutoHyphens/>
        <w:spacing w:after="0" w:line="240" w:lineRule="auto"/>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лекційна аудиторія (очна форма навчання)</w:t>
      </w:r>
    </w:p>
    <w:p w:rsidR="0088636D" w:rsidRPr="0088636D" w:rsidRDefault="0088636D" w:rsidP="0088636D">
      <w:pPr>
        <w:numPr>
          <w:ilvl w:val="0"/>
          <w:numId w:val="3"/>
        </w:numPr>
        <w:tabs>
          <w:tab w:val="num" w:pos="1440"/>
        </w:tabs>
        <w:suppressAutoHyphens/>
        <w:spacing w:after="0" w:line="240" w:lineRule="auto"/>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 xml:space="preserve">навчальний клас на платформі </w:t>
      </w:r>
      <w:r w:rsidRPr="0088636D">
        <w:rPr>
          <w:rFonts w:ascii="Times New Roman" w:eastAsia="Times New Roman" w:hAnsi="Times New Roman" w:cs="Times New Roman"/>
          <w:color w:val="000000"/>
          <w:sz w:val="24"/>
          <w:szCs w:val="24"/>
          <w:lang w:val="en-US" w:eastAsia="ru-RU"/>
        </w:rPr>
        <w:t>MS</w:t>
      </w:r>
      <w:r w:rsidRPr="0088636D">
        <w:rPr>
          <w:rFonts w:ascii="Times New Roman" w:eastAsia="Times New Roman" w:hAnsi="Times New Roman" w:cs="Times New Roman"/>
          <w:color w:val="000000"/>
          <w:sz w:val="24"/>
          <w:szCs w:val="24"/>
          <w:lang w:val="uk-UA" w:eastAsia="ru-RU"/>
        </w:rPr>
        <w:t xml:space="preserve"> </w:t>
      </w:r>
      <w:r w:rsidRPr="0088636D">
        <w:rPr>
          <w:rFonts w:ascii="Times New Roman" w:eastAsia="Times New Roman" w:hAnsi="Times New Roman" w:cs="Times New Roman"/>
          <w:color w:val="000000"/>
          <w:sz w:val="24"/>
          <w:szCs w:val="24"/>
          <w:lang w:val="en-US" w:eastAsia="ru-RU"/>
        </w:rPr>
        <w:t>Teams</w:t>
      </w:r>
      <w:r w:rsidRPr="0088636D">
        <w:rPr>
          <w:rFonts w:ascii="Times New Roman" w:eastAsia="Times New Roman" w:hAnsi="Times New Roman" w:cs="Times New Roman"/>
          <w:color w:val="000000"/>
          <w:sz w:val="24"/>
          <w:szCs w:val="24"/>
          <w:lang w:val="uk-UA" w:eastAsia="ru-RU"/>
        </w:rPr>
        <w:t xml:space="preserve"> (дистанційна форма навчання)</w:t>
      </w:r>
    </w:p>
    <w:p w:rsidR="0088636D" w:rsidRPr="0088636D" w:rsidRDefault="0088636D" w:rsidP="0088636D">
      <w:pPr>
        <w:numPr>
          <w:ilvl w:val="0"/>
          <w:numId w:val="3"/>
        </w:numPr>
        <w:suppressAutoHyphens/>
        <w:spacing w:after="0" w:line="240" w:lineRule="auto"/>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 xml:space="preserve"> </w:t>
      </w:r>
      <w:r w:rsidRPr="0088636D">
        <w:rPr>
          <w:rFonts w:ascii="Times New Roman" w:eastAsia="Times New Roman" w:hAnsi="Times New Roman" w:cs="Times New Roman"/>
          <w:b/>
          <w:color w:val="000000"/>
          <w:sz w:val="24"/>
          <w:szCs w:val="24"/>
          <w:lang w:val="uk-UA" w:eastAsia="ar-SA"/>
        </w:rPr>
        <w:t>обладнання:</w:t>
      </w:r>
    </w:p>
    <w:p w:rsidR="0088636D" w:rsidRPr="0088636D" w:rsidRDefault="0088636D" w:rsidP="0088636D">
      <w:pPr>
        <w:suppressAutoHyphens/>
        <w:spacing w:after="0" w:line="240" w:lineRule="auto"/>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мультимедійний проектор</w:t>
      </w:r>
    </w:p>
    <w:p w:rsidR="0088636D" w:rsidRPr="0088636D" w:rsidRDefault="0088636D" w:rsidP="0088636D">
      <w:pPr>
        <w:numPr>
          <w:ilvl w:val="0"/>
          <w:numId w:val="3"/>
        </w:numPr>
        <w:suppressAutoHyphens/>
        <w:spacing w:after="0" w:line="240" w:lineRule="auto"/>
        <w:jc w:val="both"/>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 xml:space="preserve"> устаткування:</w:t>
      </w:r>
    </w:p>
    <w:p w:rsidR="0088636D" w:rsidRPr="0088636D" w:rsidRDefault="0088636D" w:rsidP="0088636D">
      <w:pPr>
        <w:suppressAutoHyphens/>
        <w:spacing w:after="0" w:line="240" w:lineRule="auto"/>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персональний комп’ютер</w:t>
      </w:r>
    </w:p>
    <w:p w:rsidR="0088636D" w:rsidRPr="0088636D" w:rsidRDefault="0088636D" w:rsidP="0088636D">
      <w:pPr>
        <w:numPr>
          <w:ilvl w:val="0"/>
          <w:numId w:val="3"/>
        </w:numPr>
        <w:suppressAutoHyphens/>
        <w:spacing w:after="0" w:line="240" w:lineRule="auto"/>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ілюстративні матеріали:</w:t>
      </w:r>
    </w:p>
    <w:p w:rsidR="0088636D" w:rsidRPr="0088636D" w:rsidRDefault="0088636D" w:rsidP="0088636D">
      <w:pPr>
        <w:numPr>
          <w:ilvl w:val="0"/>
          <w:numId w:val="3"/>
        </w:numPr>
        <w:suppressAutoHyphens/>
        <w:spacing w:after="0" w:line="240" w:lineRule="auto"/>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lastRenderedPageBreak/>
        <w:t>мультимедійна презентація</w:t>
      </w: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eastAsia="ru-RU"/>
        </w:rPr>
      </w:pPr>
      <w:r w:rsidRPr="0088636D">
        <w:rPr>
          <w:rFonts w:ascii="Times New Roman" w:eastAsia="Times New Roman" w:hAnsi="Times New Roman" w:cs="Times New Roman"/>
          <w:color w:val="000000"/>
          <w:sz w:val="24"/>
          <w:szCs w:val="24"/>
          <w:lang w:eastAsia="ru-RU"/>
        </w:rPr>
        <w:t> </w:t>
      </w:r>
    </w:p>
    <w:p w:rsidR="0088636D" w:rsidRPr="0088636D" w:rsidRDefault="0088636D" w:rsidP="0088636D">
      <w:pPr>
        <w:spacing w:after="0" w:line="240" w:lineRule="auto"/>
        <w:rPr>
          <w:rFonts w:ascii="Times New Roman" w:eastAsia="Times New Roman" w:hAnsi="Times New Roman" w:cs="Times New Roman"/>
          <w:color w:val="000000"/>
          <w:sz w:val="24"/>
          <w:szCs w:val="24"/>
          <w:lang w:eastAsia="ru-RU"/>
        </w:rPr>
      </w:pPr>
      <w:r w:rsidRPr="0088636D">
        <w:rPr>
          <w:rFonts w:ascii="Times New Roman" w:eastAsia="Times New Roman" w:hAnsi="Times New Roman" w:cs="Times New Roman"/>
          <w:b/>
          <w:bCs/>
          <w:color w:val="000000"/>
          <w:sz w:val="24"/>
          <w:szCs w:val="24"/>
          <w:lang w:eastAsia="ru-RU"/>
        </w:rPr>
        <w:t>Питання для самоконтролю:</w:t>
      </w:r>
    </w:p>
    <w:bookmarkEnd w:id="1"/>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Який предмет, об'єкти досліджень соціальної фармації?</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Які основні завдання соціальної фармації?</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Вкажіть основні етапи становлення та розвитку соціальної фармації.</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Дайте визначення змісту та принципів концепції соціальної фармації  </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Які основні процеси </w:t>
      </w:r>
      <w:r w:rsidRPr="0088636D">
        <w:rPr>
          <w:rFonts w:ascii="Times New Roman" w:eastAsia="Times New Roman" w:hAnsi="Times New Roman" w:cs="Times New Roman"/>
          <w:spacing w:val="-2"/>
          <w:sz w:val="24"/>
          <w:szCs w:val="24"/>
          <w:lang w:val="uk-UA" w:eastAsia="ar-SA"/>
        </w:rPr>
        <w:t>реформування галузі ОЗ ви знаєте</w:t>
      </w:r>
      <w:r w:rsidRPr="0088636D">
        <w:rPr>
          <w:rFonts w:ascii="Times New Roman" w:eastAsia="Times New Roman" w:hAnsi="Times New Roman" w:cs="Times New Roman"/>
          <w:sz w:val="24"/>
          <w:szCs w:val="24"/>
          <w:lang w:val="uk-UA" w:eastAsia="ru-RU"/>
        </w:rPr>
        <w:t>?</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Які фактори впливають на ефективність фармацевтичної допомоги пацієнту</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Охарактеризуйте критерії якості надання медичної допомоги</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Охарактеризуйте критерії та методи оцінювання економічної ефективності надання медичної допомоги</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Надайте визначення терміну «фармацевтична допомога» та охарактеризуйте її складові</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Які рівні надання фармацевтичної допомоги існують?</w:t>
      </w:r>
    </w:p>
    <w:p w:rsidR="0088636D" w:rsidRPr="0088636D" w:rsidRDefault="0088636D" w:rsidP="0088636D">
      <w:pPr>
        <w:numPr>
          <w:ilvl w:val="0"/>
          <w:numId w:val="2"/>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Які класифікаційні ознаки фармацевтичної допомоги існують?</w:t>
      </w:r>
    </w:p>
    <w:p w:rsidR="0088636D" w:rsidRPr="0088636D" w:rsidRDefault="0088636D" w:rsidP="0088636D">
      <w:pPr>
        <w:spacing w:after="0" w:line="240" w:lineRule="auto"/>
        <w:rPr>
          <w:rFonts w:ascii="Times New Roman" w:eastAsia="Times New Roman" w:hAnsi="Times New Roman" w:cs="Times New Roman"/>
          <w:color w:val="000000"/>
          <w:sz w:val="24"/>
          <w:szCs w:val="24"/>
          <w:lang w:val="uk-UA" w:eastAsia="ru-RU"/>
        </w:rPr>
      </w:pPr>
    </w:p>
    <w:p w:rsidR="0088636D" w:rsidRPr="00FD60CF" w:rsidRDefault="0088636D" w:rsidP="0088636D">
      <w:pPr>
        <w:spacing w:after="0" w:line="240" w:lineRule="auto"/>
        <w:rPr>
          <w:rFonts w:ascii="Times New Roman" w:eastAsia="Times New Roman" w:hAnsi="Times New Roman" w:cs="Times New Roman"/>
          <w:b/>
          <w:bCs/>
          <w:color w:val="000000"/>
          <w:sz w:val="24"/>
          <w:szCs w:val="24"/>
          <w:lang w:eastAsia="ru-RU"/>
        </w:rPr>
      </w:pPr>
      <w:r w:rsidRPr="00FD60CF">
        <w:rPr>
          <w:rFonts w:ascii="Times New Roman" w:eastAsia="Times New Roman" w:hAnsi="Times New Roman" w:cs="Times New Roman"/>
          <w:b/>
          <w:bCs/>
          <w:color w:val="000000"/>
          <w:sz w:val="24"/>
          <w:szCs w:val="24"/>
          <w:lang w:eastAsia="ru-RU"/>
        </w:rPr>
        <w:t>Список використаних джерел:</w:t>
      </w:r>
    </w:p>
    <w:p w:rsidR="00FD60CF" w:rsidRPr="00FD60CF" w:rsidRDefault="00FD60CF" w:rsidP="00FD60CF">
      <w:pPr>
        <w:tabs>
          <w:tab w:val="left" w:pos="0"/>
        </w:tabs>
        <w:jc w:val="both"/>
        <w:rPr>
          <w:rFonts w:ascii="Times New Roman" w:hAnsi="Times New Roman" w:cs="Times New Roman"/>
          <w:b/>
          <w:sz w:val="24"/>
          <w:szCs w:val="24"/>
          <w:lang w:val="uk-UA"/>
        </w:rPr>
      </w:pPr>
      <w:r w:rsidRPr="00FD60CF">
        <w:rPr>
          <w:rFonts w:ascii="Times New Roman" w:hAnsi="Times New Roman" w:cs="Times New Roman"/>
          <w:b/>
          <w:sz w:val="24"/>
          <w:szCs w:val="24"/>
          <w:lang w:val="uk-UA"/>
        </w:rPr>
        <w:t>Основна література:</w:t>
      </w:r>
    </w:p>
    <w:p w:rsidR="00FD60CF" w:rsidRPr="00FD60CF" w:rsidRDefault="00FD60CF" w:rsidP="008512F9">
      <w:pPr>
        <w:pStyle w:val="21"/>
        <w:numPr>
          <w:ilvl w:val="0"/>
          <w:numId w:val="33"/>
        </w:numPr>
        <w:ind w:left="0" w:firstLine="993"/>
        <w:jc w:val="both"/>
        <w:rPr>
          <w:sz w:val="24"/>
          <w:szCs w:val="24"/>
        </w:rPr>
      </w:pPr>
      <w:r w:rsidRPr="00FD60CF">
        <w:rPr>
          <w:sz w:val="24"/>
          <w:szCs w:val="24"/>
          <w:lang w:val="ru-RU"/>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w:t>
      </w:r>
      <w:hyperlink r:id="rId11" w:history="1">
        <w:r w:rsidRPr="00FD60CF">
          <w:rPr>
            <w:rStyle w:val="a6"/>
            <w:sz w:val="24"/>
            <w:szCs w:val="24"/>
            <w:lang w:val="ru-RU"/>
          </w:rPr>
          <w:t>див.</w:t>
        </w:r>
      </w:hyperlink>
    </w:p>
    <w:p w:rsidR="00FD60CF" w:rsidRPr="00FD60CF" w:rsidRDefault="00FD60CF" w:rsidP="008512F9">
      <w:pPr>
        <w:pStyle w:val="21"/>
        <w:numPr>
          <w:ilvl w:val="0"/>
          <w:numId w:val="33"/>
        </w:numPr>
        <w:ind w:left="0" w:firstLine="993"/>
        <w:jc w:val="both"/>
        <w:rPr>
          <w:sz w:val="24"/>
          <w:szCs w:val="24"/>
        </w:rPr>
      </w:pPr>
      <w:r w:rsidRPr="00FD60CF">
        <w:rPr>
          <w:sz w:val="24"/>
          <w:szCs w:val="24"/>
        </w:rPr>
        <w:t xml:space="preserve">Голованова І.А., Бєлікова І.В., Ляхова Н.О. Організація та економіка охорони здоров'я: навч. посіб. – Полтава, 2021, 236 с. </w:t>
      </w:r>
      <w:hyperlink r:id="rId12" w:history="1">
        <w:r w:rsidRPr="00FD60CF">
          <w:rPr>
            <w:rStyle w:val="a6"/>
            <w:sz w:val="24"/>
            <w:szCs w:val="24"/>
          </w:rPr>
          <w:t>див.</w:t>
        </w:r>
      </w:hyperlink>
    </w:p>
    <w:p w:rsidR="00FD60CF" w:rsidRPr="00FD60CF" w:rsidRDefault="00FD60CF" w:rsidP="008512F9">
      <w:pPr>
        <w:pStyle w:val="21"/>
        <w:numPr>
          <w:ilvl w:val="0"/>
          <w:numId w:val="33"/>
        </w:numPr>
        <w:ind w:left="0" w:firstLine="993"/>
        <w:rPr>
          <w:sz w:val="24"/>
          <w:szCs w:val="24"/>
        </w:rPr>
      </w:pPr>
      <w:r w:rsidRPr="00FD60CF">
        <w:rPr>
          <w:sz w:val="24"/>
          <w:szCs w:val="24"/>
        </w:rPr>
        <w:t xml:space="preserve">СТ-Н МОЗУ 42-4.2:2011 Лікарські засоби. Управління ризиками для якості (ICH Q9) </w:t>
      </w:r>
    </w:p>
    <w:p w:rsidR="00FD60CF" w:rsidRPr="00FD60CF" w:rsidRDefault="00FD60CF" w:rsidP="008512F9">
      <w:pPr>
        <w:pStyle w:val="21"/>
        <w:numPr>
          <w:ilvl w:val="0"/>
          <w:numId w:val="33"/>
        </w:numPr>
        <w:ind w:left="0" w:firstLine="993"/>
        <w:jc w:val="both"/>
        <w:rPr>
          <w:sz w:val="24"/>
          <w:szCs w:val="24"/>
        </w:rPr>
      </w:pPr>
      <w:r w:rsidRPr="00FD60CF">
        <w:rPr>
          <w:sz w:val="24"/>
          <w:szCs w:val="24"/>
        </w:rPr>
        <w:t xml:space="preserve">Паліативна допомога : організаційні, фармацевтичні та клінічні аспекти знеболення (навчальний посібник). Київ 2019. 138 с. </w:t>
      </w:r>
      <w:hyperlink r:id="rId13" w:history="1">
        <w:r w:rsidRPr="00FD60CF">
          <w:rPr>
            <w:rStyle w:val="a6"/>
            <w:sz w:val="24"/>
            <w:szCs w:val="24"/>
          </w:rPr>
          <w:t>див.</w:t>
        </w:r>
      </w:hyperlink>
    </w:p>
    <w:p w:rsidR="00FD60CF" w:rsidRPr="00FD60CF" w:rsidRDefault="00FD60CF" w:rsidP="008512F9">
      <w:pPr>
        <w:numPr>
          <w:ilvl w:val="0"/>
          <w:numId w:val="33"/>
        </w:numPr>
        <w:tabs>
          <w:tab w:val="left" w:pos="0"/>
        </w:tabs>
        <w:suppressAutoHyphens/>
        <w:spacing w:after="0" w:line="240" w:lineRule="auto"/>
        <w:ind w:left="0" w:firstLine="993"/>
        <w:jc w:val="both"/>
        <w:rPr>
          <w:rFonts w:ascii="Times New Roman" w:hAnsi="Times New Roman" w:cs="Times New Roman"/>
          <w:sz w:val="24"/>
          <w:szCs w:val="24"/>
        </w:rPr>
      </w:pPr>
      <w:r w:rsidRPr="00FD60CF">
        <w:rPr>
          <w:rFonts w:ascii="Times New Roman" w:hAnsi="Times New Roman" w:cs="Times New Roman"/>
          <w:sz w:val="24"/>
          <w:szCs w:val="24"/>
        </w:rPr>
        <w:t xml:space="preserve">Борщ В.І., Рудінська О.В., Кусик Н.Л. Менеджмент та маркетинг в охороні здоровʼя: навчальний посібник. Херсон: Олді+, 2022. 264 с. </w:t>
      </w:r>
    </w:p>
    <w:p w:rsidR="00FD60CF" w:rsidRPr="00FD60CF" w:rsidRDefault="00FD60CF" w:rsidP="008512F9">
      <w:pPr>
        <w:numPr>
          <w:ilvl w:val="0"/>
          <w:numId w:val="33"/>
        </w:numPr>
        <w:tabs>
          <w:tab w:val="left" w:pos="0"/>
        </w:tabs>
        <w:suppressAutoHyphens/>
        <w:spacing w:after="0" w:line="240" w:lineRule="auto"/>
        <w:ind w:left="0" w:firstLine="993"/>
        <w:jc w:val="both"/>
        <w:rPr>
          <w:rFonts w:ascii="Times New Roman" w:hAnsi="Times New Roman" w:cs="Times New Roman"/>
          <w:sz w:val="24"/>
          <w:szCs w:val="24"/>
        </w:rPr>
      </w:pPr>
      <w:r w:rsidRPr="00FD60CF">
        <w:rPr>
          <w:rFonts w:ascii="Times New Roman" w:hAnsi="Times New Roman" w:cs="Times New Roman"/>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FD60CF" w:rsidRPr="00FD60CF" w:rsidRDefault="00FD60CF" w:rsidP="008512F9">
      <w:pPr>
        <w:numPr>
          <w:ilvl w:val="0"/>
          <w:numId w:val="33"/>
        </w:numPr>
        <w:tabs>
          <w:tab w:val="left" w:pos="0"/>
        </w:tabs>
        <w:suppressAutoHyphens/>
        <w:spacing w:after="0" w:line="240" w:lineRule="auto"/>
        <w:ind w:left="0" w:firstLine="993"/>
        <w:jc w:val="both"/>
        <w:rPr>
          <w:rFonts w:ascii="Times New Roman" w:hAnsi="Times New Roman" w:cs="Times New Roman"/>
          <w:sz w:val="24"/>
          <w:szCs w:val="24"/>
        </w:rPr>
      </w:pPr>
      <w:r w:rsidRPr="00FD60CF">
        <w:rPr>
          <w:rFonts w:ascii="Times New Roman" w:hAnsi="Times New Roman" w:cs="Times New Roman"/>
          <w:sz w:val="24"/>
          <w:szCs w:val="24"/>
        </w:rPr>
        <w:t>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https://ela.kpi.ua/items/564de540-fd83-4995-b1b4-505e456fc246</w:t>
      </w:r>
    </w:p>
    <w:p w:rsidR="00FD60CF" w:rsidRPr="00FD60CF" w:rsidRDefault="00FD60CF" w:rsidP="00FD60CF">
      <w:pPr>
        <w:pStyle w:val="21"/>
        <w:rPr>
          <w:b/>
          <w:sz w:val="24"/>
          <w:szCs w:val="24"/>
        </w:rPr>
      </w:pPr>
    </w:p>
    <w:p w:rsidR="00FD60CF" w:rsidRPr="00FD60CF" w:rsidRDefault="00FD60CF" w:rsidP="00FD60CF">
      <w:pPr>
        <w:pStyle w:val="21"/>
        <w:ind w:firstLine="360"/>
        <w:rPr>
          <w:b/>
          <w:sz w:val="24"/>
          <w:szCs w:val="24"/>
        </w:rPr>
      </w:pPr>
      <w:r w:rsidRPr="00FD60CF">
        <w:rPr>
          <w:b/>
          <w:sz w:val="24"/>
          <w:szCs w:val="24"/>
        </w:rPr>
        <w:t>Додаткова література:</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Фармакоекономіка: навч. посіб. для студ. вищ. навч. закл. ІІІ-ІV рівнів акредитації/ Яковлєва Л. В. та ін.; за ред. Л. В. Яковлєвої. Вінниця: Нова книга, 2017. 207 с.</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w:t>
      </w:r>
      <w:r w:rsidRPr="00FD60CF">
        <w:rPr>
          <w:rFonts w:ascii="Times New Roman" w:hAnsi="Times New Roman" w:cs="Times New Roman"/>
          <w:sz w:val="24"/>
          <w:szCs w:val="24"/>
          <w:lang w:val="uk-UA"/>
        </w:rPr>
        <w:t xml:space="preserve"> </w:t>
      </w:r>
      <w:hyperlink r:id="rId14" w:history="1">
        <w:r w:rsidRPr="00FD60CF">
          <w:rPr>
            <w:rStyle w:val="a6"/>
            <w:rFonts w:ascii="Times New Roman" w:hAnsi="Times New Roman" w:cs="Times New Roman"/>
            <w:sz w:val="24"/>
            <w:szCs w:val="24"/>
            <w:lang w:val="uk-UA"/>
          </w:rPr>
          <w:t>див.</w:t>
        </w:r>
      </w:hyperlink>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Смірнова Г. В. Регулювання фармацевтичного ринку в контексті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оптимізації соціального забезпечення населення. Регіональна економіка. 2021. С. 29-34.</w:t>
      </w:r>
      <w:r w:rsidRPr="00FD60CF">
        <w:rPr>
          <w:rFonts w:ascii="Times New Roman" w:hAnsi="Times New Roman" w:cs="Times New Roman"/>
          <w:sz w:val="24"/>
          <w:szCs w:val="24"/>
          <w:lang w:val="uk-UA"/>
        </w:rPr>
        <w:t xml:space="preserve"> </w:t>
      </w:r>
      <w:hyperlink r:id="rId15" w:history="1">
        <w:r w:rsidRPr="00FD60CF">
          <w:rPr>
            <w:rStyle w:val="a6"/>
            <w:rFonts w:ascii="Times New Roman" w:hAnsi="Times New Roman" w:cs="Times New Roman"/>
            <w:sz w:val="24"/>
            <w:szCs w:val="24"/>
            <w:lang w:val="uk-UA"/>
          </w:rPr>
          <w:t>див.</w:t>
        </w:r>
      </w:hyperlink>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Тарасюк М.Б., Паламар І.В., Орлова Н.М., Головчанська-Пушкар</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С.С., Клименюк В.П., Тодоренко Л.С. Тайм-менеджмент в роботі керівників</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аптечних закладів. Наукові інновації та передові технології. 2024. № 5 (33). С.</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411-424. DOI: https://doi.org/10.52058/2786-5274-2024-5(33)-411-424</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lastRenderedPageBreak/>
        <w:t>Тарасюк М.Б., Байдюк І.А., Паламар І.В., Карпенко І.А., Пірвердієва</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І.С., Ткаченко О.В. Маркетингова діяльність всеукраїнської аптечної мережі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«Подорожник» м. Вінниця. Вісник Вінницького національного медичного</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університету. 2023. Т. 27. № 4. С. 641-644 DOI: https://doi.org/10.31393/reportsvnmedical-2023-27(4)-19</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Ткаченко Н. О., Городецька І. Я., Левицька О. Р. Аналіз підходів до</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складання соціальної звітності фармацевтичних підприємств. Актуальні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питання фармацевтичної і медичної науки та практики. 2023. Т. 16, № 2. С. 186-193.</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FD60CF" w:rsidRPr="00FD60CF" w:rsidRDefault="00FD60CF" w:rsidP="008512F9">
      <w:pPr>
        <w:numPr>
          <w:ilvl w:val="0"/>
          <w:numId w:val="34"/>
        </w:numPr>
        <w:tabs>
          <w:tab w:val="left" w:pos="0"/>
        </w:tabs>
        <w:suppressAutoHyphens/>
        <w:spacing w:after="0" w:line="240" w:lineRule="auto"/>
        <w:ind w:left="0" w:firstLine="709"/>
        <w:jc w:val="both"/>
        <w:rPr>
          <w:rFonts w:ascii="Times New Roman" w:hAnsi="Times New Roman" w:cs="Times New Roman"/>
          <w:sz w:val="24"/>
          <w:szCs w:val="24"/>
        </w:rPr>
      </w:pPr>
      <w:r w:rsidRPr="00FD60CF">
        <w:rPr>
          <w:rFonts w:ascii="Times New Roman" w:hAnsi="Times New Roman" w:cs="Times New Roman"/>
          <w:sz w:val="24"/>
          <w:szCs w:val="24"/>
          <w:lang w:val="uk-UA"/>
        </w:rPr>
        <w:t xml:space="preserve">Аналіз </w:t>
      </w:r>
      <w:r w:rsidRPr="00FD60CF">
        <w:rPr>
          <w:rFonts w:ascii="Times New Roman" w:hAnsi="Times New Roman" w:cs="Times New Roman"/>
          <w:sz w:val="24"/>
          <w:szCs w:val="24"/>
        </w:rPr>
        <w:t xml:space="preserve">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FD60CF" w:rsidRPr="00FD60CF" w:rsidRDefault="00FD60CF" w:rsidP="00FD60CF">
      <w:pPr>
        <w:ind w:left="-142" w:firstLine="851"/>
        <w:jc w:val="both"/>
        <w:rPr>
          <w:rFonts w:ascii="Times New Roman" w:hAnsi="Times New Roman" w:cs="Times New Roman"/>
          <w:b/>
          <w:sz w:val="24"/>
          <w:szCs w:val="24"/>
          <w:lang w:val="uk-UA"/>
        </w:rPr>
      </w:pPr>
    </w:p>
    <w:p w:rsidR="00FD60CF" w:rsidRPr="00FD60CF" w:rsidRDefault="00FD60CF" w:rsidP="00FD60CF">
      <w:pPr>
        <w:jc w:val="center"/>
        <w:rPr>
          <w:rFonts w:ascii="Times New Roman" w:hAnsi="Times New Roman" w:cs="Times New Roman"/>
          <w:b/>
          <w:sz w:val="24"/>
          <w:szCs w:val="24"/>
          <w:lang w:val="uk-UA"/>
        </w:rPr>
      </w:pPr>
      <w:r w:rsidRPr="00FD60CF">
        <w:rPr>
          <w:rFonts w:ascii="Times New Roman" w:hAnsi="Times New Roman" w:cs="Times New Roman"/>
          <w:b/>
          <w:sz w:val="24"/>
          <w:szCs w:val="24"/>
          <w:lang w:val="uk-UA"/>
        </w:rPr>
        <w:t>13. ЕЛЕКТРОННІ ІНФОРМАЦІЙНІ РЕСУРСИ</w:t>
      </w:r>
    </w:p>
    <w:p w:rsidR="00FD60CF" w:rsidRPr="00FD60CF" w:rsidRDefault="00FD60CF" w:rsidP="008512F9">
      <w:pPr>
        <w:numPr>
          <w:ilvl w:val="0"/>
          <w:numId w:val="35"/>
        </w:numPr>
        <w:tabs>
          <w:tab w:val="num" w:pos="0"/>
        </w:tabs>
        <w:suppressAutoHyphens/>
        <w:spacing w:before="7" w:after="0" w:line="240" w:lineRule="auto"/>
        <w:ind w:left="0" w:right="32" w:firstLine="709"/>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Законодавство України [Електронний ресурс]. - Режим доступу:  </w:t>
      </w:r>
      <w:hyperlink r:id="rId16" w:history="1">
        <w:r w:rsidRPr="00FD60CF">
          <w:rPr>
            <w:rStyle w:val="a6"/>
            <w:rFonts w:ascii="Times New Roman" w:hAnsi="Times New Roman" w:cs="Times New Roman"/>
            <w:sz w:val="24"/>
            <w:szCs w:val="24"/>
            <w:lang w:val="uk-UA"/>
          </w:rPr>
          <w:t>https://zakon.rada.gov.ua/laws/show/</w:t>
        </w:r>
      </w:hyperlink>
    </w:p>
    <w:p w:rsidR="00FD60CF" w:rsidRPr="00FD60CF" w:rsidRDefault="00FD60CF" w:rsidP="008512F9">
      <w:pPr>
        <w:numPr>
          <w:ilvl w:val="0"/>
          <w:numId w:val="35"/>
        </w:numPr>
        <w:tabs>
          <w:tab w:val="num" w:pos="0"/>
        </w:tabs>
        <w:suppressAutoHyphens/>
        <w:spacing w:before="7" w:after="0" w:line="240" w:lineRule="auto"/>
        <w:ind w:left="0" w:right="32" w:firstLine="709"/>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Міністерство охорони здоров’я України [Електронний ресурс]. - Режим доступу: </w:t>
      </w:r>
      <w:r w:rsidRPr="00FD60CF">
        <w:rPr>
          <w:rFonts w:ascii="Times New Roman" w:hAnsi="Times New Roman" w:cs="Times New Roman"/>
          <w:sz w:val="24"/>
          <w:szCs w:val="24"/>
        </w:rPr>
        <w:t xml:space="preserve"> </w:t>
      </w:r>
      <w:hyperlink r:id="rId17" w:history="1">
        <w:r w:rsidRPr="00FD60CF">
          <w:rPr>
            <w:rStyle w:val="a6"/>
            <w:rFonts w:ascii="Times New Roman" w:hAnsi="Times New Roman" w:cs="Times New Roman"/>
            <w:sz w:val="24"/>
            <w:szCs w:val="24"/>
            <w:lang w:val="uk-UA"/>
          </w:rPr>
          <w:t>https://moz.gov.ua/</w:t>
        </w:r>
      </w:hyperlink>
    </w:p>
    <w:p w:rsidR="00FD60CF" w:rsidRPr="00FD60CF" w:rsidRDefault="00FD60CF" w:rsidP="008512F9">
      <w:pPr>
        <w:numPr>
          <w:ilvl w:val="0"/>
          <w:numId w:val="35"/>
        </w:numPr>
        <w:tabs>
          <w:tab w:val="num" w:pos="0"/>
        </w:tabs>
        <w:suppressAutoHyphens/>
        <w:spacing w:before="7" w:after="0" w:line="240" w:lineRule="auto"/>
        <w:ind w:left="0" w:right="32" w:firstLine="709"/>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Державна служба України з лікарських засобів та контролю за наркотиками (Держлікслужба)</w:t>
      </w:r>
      <w:r w:rsidRPr="00FD60CF">
        <w:rPr>
          <w:rFonts w:ascii="Times New Roman" w:hAnsi="Times New Roman" w:cs="Times New Roman"/>
          <w:color w:val="1D1D1B"/>
          <w:sz w:val="24"/>
          <w:szCs w:val="24"/>
          <w:shd w:val="clear" w:color="auto" w:fill="FFFFFF"/>
        </w:rPr>
        <w:t> </w:t>
      </w:r>
      <w:hyperlink r:id="rId18" w:history="1">
        <w:r w:rsidRPr="00FD60CF">
          <w:rPr>
            <w:rStyle w:val="a6"/>
            <w:rFonts w:ascii="Times New Roman" w:hAnsi="Times New Roman" w:cs="Times New Roman"/>
            <w:sz w:val="24"/>
            <w:szCs w:val="24"/>
            <w:lang w:val="uk-UA"/>
          </w:rPr>
          <w:t>https://www.dls.gov.ua/</w:t>
        </w:r>
      </w:hyperlink>
    </w:p>
    <w:p w:rsidR="00FD60CF" w:rsidRPr="00FD60CF" w:rsidRDefault="00FD60CF" w:rsidP="008512F9">
      <w:pPr>
        <w:numPr>
          <w:ilvl w:val="0"/>
          <w:numId w:val="35"/>
        </w:numPr>
        <w:tabs>
          <w:tab w:val="num" w:pos="0"/>
        </w:tabs>
        <w:suppressAutoHyphens/>
        <w:spacing w:before="7" w:after="0" w:line="240" w:lineRule="auto"/>
        <w:ind w:left="0" w:right="32" w:firstLine="709"/>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Державний експертний центр МОЗ України </w:t>
      </w:r>
      <w:hyperlink r:id="rId19" w:history="1">
        <w:r w:rsidRPr="00FD60CF">
          <w:rPr>
            <w:rStyle w:val="a6"/>
            <w:rFonts w:ascii="Times New Roman" w:hAnsi="Times New Roman" w:cs="Times New Roman"/>
            <w:sz w:val="24"/>
            <w:szCs w:val="24"/>
            <w:lang w:val="uk-UA"/>
          </w:rPr>
          <w:t>https://www.dec.gov.ua/</w:t>
        </w:r>
      </w:hyperlink>
    </w:p>
    <w:p w:rsidR="00FD60CF" w:rsidRPr="00FD60CF" w:rsidRDefault="00FD60CF" w:rsidP="008512F9">
      <w:pPr>
        <w:numPr>
          <w:ilvl w:val="0"/>
          <w:numId w:val="35"/>
        </w:numPr>
        <w:tabs>
          <w:tab w:val="num" w:pos="0"/>
        </w:tabs>
        <w:suppressAutoHyphens/>
        <w:spacing w:before="7" w:after="0" w:line="240" w:lineRule="auto"/>
        <w:ind w:left="0" w:right="32" w:firstLine="709"/>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Державний формуляр ЛЗ </w:t>
      </w:r>
      <w:hyperlink r:id="rId20" w:history="1">
        <w:r w:rsidRPr="00FD60CF">
          <w:rPr>
            <w:rStyle w:val="a6"/>
            <w:rFonts w:ascii="Times New Roman" w:hAnsi="Times New Roman" w:cs="Times New Roman"/>
            <w:sz w:val="24"/>
            <w:szCs w:val="24"/>
            <w:lang w:val="uk-UA"/>
          </w:rPr>
          <w:t>https://www.dec.gov.ua/materials/chinnij-vipusk-derzhavnogo-formulyara-likarskih-zasobiv/?role=ua</w:t>
        </w:r>
      </w:hyperlink>
    </w:p>
    <w:p w:rsidR="00FD60CF" w:rsidRPr="00FD60CF" w:rsidRDefault="00FD60CF" w:rsidP="008512F9">
      <w:pPr>
        <w:pStyle w:val="21"/>
        <w:numPr>
          <w:ilvl w:val="0"/>
          <w:numId w:val="35"/>
        </w:numPr>
        <w:tabs>
          <w:tab w:val="num" w:pos="0"/>
        </w:tabs>
        <w:ind w:left="0" w:firstLine="709"/>
        <w:jc w:val="both"/>
        <w:rPr>
          <w:sz w:val="24"/>
          <w:szCs w:val="24"/>
        </w:rPr>
      </w:pPr>
      <w:r w:rsidRPr="00FD60CF">
        <w:rPr>
          <w:sz w:val="24"/>
          <w:szCs w:val="24"/>
        </w:rPr>
        <w:t xml:space="preserve">Державний реєстр лікарських засобів України. [Електронний ресурс]. – Режим доступу: </w:t>
      </w:r>
      <w:hyperlink r:id="rId21" w:history="1">
        <w:r w:rsidRPr="00FD60CF">
          <w:rPr>
            <w:rStyle w:val="a6"/>
            <w:sz w:val="24"/>
            <w:szCs w:val="24"/>
          </w:rPr>
          <w:t>http://www.drlz.com.ua/ibp/ddsite.nsf/all/shlist?opendocument</w:t>
        </w:r>
      </w:hyperlink>
    </w:p>
    <w:p w:rsidR="00FD60CF" w:rsidRPr="00FD60CF" w:rsidRDefault="00FD60CF" w:rsidP="008512F9">
      <w:pPr>
        <w:pStyle w:val="21"/>
        <w:numPr>
          <w:ilvl w:val="0"/>
          <w:numId w:val="35"/>
        </w:numPr>
        <w:tabs>
          <w:tab w:val="num" w:pos="0"/>
        </w:tabs>
        <w:ind w:left="0" w:firstLine="709"/>
        <w:jc w:val="both"/>
        <w:rPr>
          <w:sz w:val="24"/>
          <w:szCs w:val="24"/>
        </w:rPr>
      </w:pPr>
      <w:r w:rsidRPr="00FD60CF">
        <w:rPr>
          <w:sz w:val="24"/>
          <w:szCs w:val="24"/>
        </w:rPr>
        <w:t>Compendium online. [Електронний ресурс]. – Режим доступу:</w:t>
      </w:r>
      <w:r w:rsidRPr="00FD60CF">
        <w:rPr>
          <w:sz w:val="24"/>
          <w:szCs w:val="24"/>
        </w:rPr>
        <w:br/>
      </w:r>
      <w:hyperlink r:id="rId22" w:history="1">
        <w:r w:rsidRPr="00FD60CF">
          <w:rPr>
            <w:rStyle w:val="a6"/>
            <w:sz w:val="24"/>
            <w:szCs w:val="24"/>
          </w:rPr>
          <w:t>https://compendium.com.ua/uk/</w:t>
        </w:r>
      </w:hyperlink>
      <w:r w:rsidRPr="00FD60CF">
        <w:rPr>
          <w:sz w:val="24"/>
          <w:szCs w:val="24"/>
        </w:rPr>
        <w:t xml:space="preserve"> </w:t>
      </w:r>
    </w:p>
    <w:p w:rsidR="00FD60CF" w:rsidRPr="00FD60CF" w:rsidRDefault="00FD60CF" w:rsidP="008512F9">
      <w:pPr>
        <w:pStyle w:val="21"/>
        <w:numPr>
          <w:ilvl w:val="0"/>
          <w:numId w:val="35"/>
        </w:numPr>
        <w:tabs>
          <w:tab w:val="num" w:pos="0"/>
        </w:tabs>
        <w:ind w:left="0" w:firstLine="709"/>
        <w:jc w:val="both"/>
        <w:rPr>
          <w:sz w:val="24"/>
          <w:szCs w:val="24"/>
        </w:rPr>
      </w:pPr>
      <w:r w:rsidRPr="00FD60CF">
        <w:rPr>
          <w:sz w:val="24"/>
          <w:szCs w:val="24"/>
        </w:rPr>
        <w:t>Щотижневик «Аптека» [Електронний ресурс]. – Режим доступу:</w:t>
      </w:r>
      <w:r w:rsidRPr="00FD60CF">
        <w:rPr>
          <w:sz w:val="24"/>
          <w:szCs w:val="24"/>
        </w:rPr>
        <w:br/>
      </w:r>
      <w:hyperlink r:id="rId23" w:history="1">
        <w:r w:rsidRPr="00FD60CF">
          <w:rPr>
            <w:rStyle w:val="a6"/>
            <w:sz w:val="24"/>
            <w:szCs w:val="24"/>
          </w:rPr>
          <w:t>https://www.apteka.ua/</w:t>
        </w:r>
      </w:hyperlink>
    </w:p>
    <w:p w:rsidR="00FD60CF" w:rsidRPr="00FD60CF" w:rsidRDefault="00FD60CF" w:rsidP="008512F9">
      <w:pPr>
        <w:pStyle w:val="21"/>
        <w:widowControl w:val="0"/>
        <w:numPr>
          <w:ilvl w:val="0"/>
          <w:numId w:val="35"/>
        </w:numPr>
        <w:tabs>
          <w:tab w:val="num" w:pos="0"/>
        </w:tabs>
        <w:ind w:left="0" w:firstLine="709"/>
        <w:jc w:val="both"/>
        <w:rPr>
          <w:sz w:val="24"/>
          <w:szCs w:val="24"/>
        </w:rPr>
      </w:pPr>
      <w:r w:rsidRPr="00FD60CF">
        <w:rPr>
          <w:sz w:val="24"/>
          <w:szCs w:val="24"/>
        </w:rPr>
        <w:t xml:space="preserve">Пошукова база ліків [Електронний ресурс]. – Режим доступу: </w:t>
      </w:r>
      <w:hyperlink r:id="rId24" w:history="1">
        <w:r w:rsidRPr="00FD60CF">
          <w:rPr>
            <w:rStyle w:val="a6"/>
            <w:sz w:val="24"/>
            <w:szCs w:val="24"/>
          </w:rPr>
          <w:t>https://tabletki.ua/</w:t>
        </w:r>
      </w:hyperlink>
    </w:p>
    <w:p w:rsidR="00FD60CF" w:rsidRPr="00FD60CF" w:rsidRDefault="00FD60CF" w:rsidP="008512F9">
      <w:pPr>
        <w:pStyle w:val="21"/>
        <w:widowControl w:val="0"/>
        <w:numPr>
          <w:ilvl w:val="0"/>
          <w:numId w:val="35"/>
        </w:numPr>
        <w:tabs>
          <w:tab w:val="num" w:pos="0"/>
        </w:tabs>
        <w:ind w:left="0" w:firstLine="709"/>
        <w:jc w:val="both"/>
        <w:rPr>
          <w:sz w:val="24"/>
          <w:szCs w:val="24"/>
        </w:rPr>
      </w:pPr>
      <w:r w:rsidRPr="00FD60CF">
        <w:rPr>
          <w:sz w:val="24"/>
          <w:szCs w:val="24"/>
        </w:rPr>
        <w:t>Пошукова база ліків [Електронний ресурс]. – Режим доступу:</w:t>
      </w:r>
      <w:r w:rsidRPr="00FD60CF">
        <w:rPr>
          <w:sz w:val="24"/>
          <w:szCs w:val="24"/>
        </w:rPr>
        <w:br/>
      </w:r>
      <w:hyperlink r:id="rId25" w:history="1">
        <w:r w:rsidRPr="00FD60CF">
          <w:rPr>
            <w:rStyle w:val="a6"/>
            <w:sz w:val="24"/>
            <w:szCs w:val="24"/>
          </w:rPr>
          <w:t>https://likicontrol.com.ua/</w:t>
        </w:r>
      </w:hyperlink>
    </w:p>
    <w:p w:rsidR="00FD60CF" w:rsidRPr="00FD60CF" w:rsidRDefault="00FD60CF" w:rsidP="008512F9">
      <w:pPr>
        <w:pStyle w:val="21"/>
        <w:widowControl w:val="0"/>
        <w:numPr>
          <w:ilvl w:val="0"/>
          <w:numId w:val="35"/>
        </w:numPr>
        <w:tabs>
          <w:tab w:val="num" w:pos="0"/>
        </w:tabs>
        <w:ind w:left="0" w:firstLine="709"/>
        <w:jc w:val="both"/>
        <w:rPr>
          <w:sz w:val="24"/>
          <w:szCs w:val="24"/>
        </w:rPr>
      </w:pPr>
      <w:r w:rsidRPr="00FD60CF">
        <w:rPr>
          <w:sz w:val="24"/>
          <w:szCs w:val="24"/>
        </w:rPr>
        <w:t>Rx.ua —</w:t>
      </w:r>
      <w:hyperlink r:id="rId26" w:history="1">
        <w:r w:rsidRPr="00FD60CF">
          <w:rPr>
            <w:rStyle w:val="a6"/>
            <w:sz w:val="24"/>
            <w:szCs w:val="24"/>
          </w:rPr>
          <w:t>довідник еквівалентності лікарських засобів</w:t>
        </w:r>
      </w:hyperlink>
      <w:r w:rsidRPr="00FD60CF">
        <w:rPr>
          <w:sz w:val="24"/>
          <w:szCs w:val="24"/>
        </w:rPr>
        <w:t xml:space="preserve"> [Електронний ресурс]. – Режим доступу:</w:t>
      </w:r>
      <w:r w:rsidRPr="00FD60CF">
        <w:rPr>
          <w:color w:val="000000"/>
          <w:sz w:val="24"/>
          <w:szCs w:val="24"/>
          <w:shd w:val="clear" w:color="auto" w:fill="FFFFFF"/>
        </w:rPr>
        <w:t> </w:t>
      </w:r>
      <w:hyperlink r:id="rId27" w:history="1">
        <w:r w:rsidRPr="00FD60CF">
          <w:rPr>
            <w:rStyle w:val="a6"/>
            <w:sz w:val="24"/>
            <w:szCs w:val="24"/>
            <w:shd w:val="clear" w:color="auto" w:fill="FFFFFF"/>
          </w:rPr>
          <w:t>https://rx.ua/</w:t>
        </w:r>
      </w:hyperlink>
    </w:p>
    <w:p w:rsidR="00FD60CF" w:rsidRPr="00FD60CF" w:rsidRDefault="00FD60CF" w:rsidP="00FD60CF">
      <w:pPr>
        <w:widowControl w:val="0"/>
        <w:jc w:val="both"/>
        <w:rPr>
          <w:rFonts w:ascii="Times New Roman" w:eastAsia="Calibri" w:hAnsi="Times New Roman" w:cs="Times New Roman"/>
          <w:bCs/>
          <w:sz w:val="24"/>
          <w:szCs w:val="24"/>
          <w:lang w:val="uk-UA" w:eastAsia="ru-RU"/>
        </w:rPr>
      </w:pPr>
    </w:p>
    <w:p w:rsidR="0088636D" w:rsidRPr="0088636D" w:rsidRDefault="001A029B" w:rsidP="0088636D">
      <w:pPr>
        <w:suppressAutoHyphens/>
        <w:spacing w:after="0" w:line="240" w:lineRule="auto"/>
        <w:jc w:val="both"/>
        <w:rPr>
          <w:rFonts w:ascii="Times New Roman" w:eastAsia="Times New Roman" w:hAnsi="Times New Roman" w:cs="Times New Roman"/>
          <w:b/>
          <w:spacing w:val="-2"/>
          <w:sz w:val="24"/>
          <w:szCs w:val="24"/>
          <w:lang w:val="uk-UA" w:eastAsia="ar-SA"/>
        </w:rPr>
      </w:pPr>
      <w:r>
        <w:rPr>
          <w:rFonts w:ascii="Times New Roman" w:eastAsia="Times New Roman" w:hAnsi="Times New Roman" w:cs="Times New Roman"/>
          <w:b/>
          <w:spacing w:val="-2"/>
          <w:sz w:val="24"/>
          <w:szCs w:val="24"/>
          <w:lang w:val="uk-UA" w:eastAsia="ar-SA"/>
        </w:rPr>
        <w:t>Лекція 2</w:t>
      </w: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b/>
          <w:bCs/>
          <w:sz w:val="24"/>
          <w:szCs w:val="24"/>
          <w:lang w:val="uk-UA"/>
        </w:rPr>
        <w:t>Тема</w:t>
      </w:r>
      <w:r w:rsidR="001A029B">
        <w:rPr>
          <w:rFonts w:ascii="Times New Roman" w:hAnsi="Times New Roman" w:cs="Times New Roman"/>
          <w:b/>
          <w:bCs/>
          <w:sz w:val="24"/>
          <w:szCs w:val="24"/>
          <w:lang w:val="uk-UA"/>
        </w:rPr>
        <w:t>:</w:t>
      </w:r>
      <w:r w:rsidRPr="0088636D">
        <w:rPr>
          <w:rFonts w:ascii="Times New Roman" w:hAnsi="Times New Roman" w:cs="Times New Roman"/>
          <w:sz w:val="24"/>
          <w:szCs w:val="24"/>
          <w:lang w:val="uk-UA"/>
        </w:rPr>
        <w:t xml:space="preserve"> «Сучасні аспекти функціонування системи фармацевтичної безпеки»</w:t>
      </w:r>
    </w:p>
    <w:p w:rsidR="0088636D" w:rsidRPr="0088636D" w:rsidRDefault="0088636D" w:rsidP="0088636D">
      <w:pPr>
        <w:pStyle w:val="Default"/>
        <w:jc w:val="both"/>
      </w:pPr>
      <w:r w:rsidRPr="0088636D">
        <w:rPr>
          <w:b/>
        </w:rPr>
        <w:t>Актуальність теми.</w:t>
      </w:r>
      <w:r w:rsidRPr="0088636D">
        <w:t xml:space="preserve"> Одним із шляхів до забезпечення належної організація охорони здоров’я, яка забезпечувала б право кожного громадянина на одержання медичної допомоги, є розвиток системи страхової медицини. За допомогою системи страхової медицини вирішаться численні питання гарантованості доступності медичних послуг для широких верств населення, залучення додаткових ресурсів у сферу охорони здоров’я.</w:t>
      </w:r>
    </w:p>
    <w:p w:rsidR="0088636D" w:rsidRPr="0088636D" w:rsidRDefault="0088636D" w:rsidP="0088636D">
      <w:pPr>
        <w:pStyle w:val="Default"/>
        <w:jc w:val="both"/>
        <w:rPr>
          <w:b/>
        </w:rPr>
      </w:pP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b/>
          <w:sz w:val="24"/>
          <w:szCs w:val="24"/>
          <w:lang w:val="uk-UA"/>
        </w:rPr>
        <w:t xml:space="preserve">Мета:  </w:t>
      </w:r>
      <w:r w:rsidRPr="0088636D">
        <w:rPr>
          <w:rFonts w:ascii="Times New Roman" w:hAnsi="Times New Roman" w:cs="Times New Roman"/>
          <w:sz w:val="24"/>
          <w:szCs w:val="24"/>
          <w:lang w:val="uk-UA"/>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88636D" w:rsidRPr="0088636D" w:rsidRDefault="0088636D" w:rsidP="0088636D">
      <w:pPr>
        <w:pStyle w:val="Default"/>
        <w:jc w:val="both"/>
        <w:rPr>
          <w:b/>
        </w:rPr>
      </w:pPr>
    </w:p>
    <w:p w:rsidR="0088636D" w:rsidRPr="0088636D" w:rsidRDefault="0088636D" w:rsidP="0088636D">
      <w:pPr>
        <w:pStyle w:val="a8"/>
        <w:ind w:left="0"/>
        <w:jc w:val="both"/>
        <w:rPr>
          <w:lang w:val="uk-UA"/>
        </w:rPr>
      </w:pPr>
      <w:r w:rsidRPr="0088636D">
        <w:rPr>
          <w:b/>
          <w:bCs/>
          <w:iCs/>
          <w:lang w:val="uk-UA"/>
        </w:rPr>
        <w:lastRenderedPageBreak/>
        <w:t xml:space="preserve">Основні поняття: </w:t>
      </w:r>
      <w:r w:rsidRPr="0088636D">
        <w:rPr>
          <w:bCs/>
          <w:iCs/>
          <w:lang w:val="uk-UA"/>
        </w:rPr>
        <w:t xml:space="preserve">фармацевтична безпека, </w:t>
      </w:r>
      <w:r w:rsidRPr="0088636D">
        <w:rPr>
          <w:lang w:val="uk-UA"/>
        </w:rPr>
        <w:t>соціальна фармація</w:t>
      </w:r>
      <w:r w:rsidRPr="0088636D">
        <w:rPr>
          <w:b/>
          <w:lang w:val="uk-UA"/>
        </w:rPr>
        <w:t xml:space="preserve">; </w:t>
      </w:r>
      <w:r w:rsidRPr="0088636D">
        <w:rPr>
          <w:rFonts w:eastAsia="Calibri"/>
          <w:lang w:val="uk-UA" w:eastAsia="en-US"/>
        </w:rPr>
        <w:t xml:space="preserve">система охорони здоров'я; </w:t>
      </w:r>
      <w:r w:rsidRPr="0088636D">
        <w:rPr>
          <w:lang w:val="uk-UA"/>
        </w:rPr>
        <w:t>гуманізм; соціальна справедливість (доступність);  суспільна доцільність; соціальна відповідальність; фахова компетентність</w:t>
      </w:r>
    </w:p>
    <w:p w:rsidR="0088636D" w:rsidRPr="0088636D" w:rsidRDefault="0088636D" w:rsidP="0088636D">
      <w:pPr>
        <w:jc w:val="both"/>
        <w:rPr>
          <w:rFonts w:ascii="Times New Roman" w:hAnsi="Times New Roman" w:cs="Times New Roman"/>
          <w:bCs/>
          <w:iCs/>
          <w:sz w:val="24"/>
          <w:szCs w:val="24"/>
          <w:lang w:val="uk-UA"/>
        </w:rPr>
      </w:pPr>
    </w:p>
    <w:p w:rsidR="0088636D" w:rsidRPr="0088636D" w:rsidRDefault="0088636D" w:rsidP="0088636D">
      <w:pPr>
        <w:rPr>
          <w:rFonts w:ascii="Times New Roman" w:hAnsi="Times New Roman" w:cs="Times New Roman"/>
          <w:b/>
          <w:sz w:val="24"/>
          <w:szCs w:val="24"/>
          <w:lang w:val="uk-UA"/>
        </w:rPr>
      </w:pPr>
      <w:r w:rsidRPr="0088636D">
        <w:rPr>
          <w:rFonts w:ascii="Times New Roman" w:hAnsi="Times New Roman" w:cs="Times New Roman"/>
          <w:b/>
          <w:sz w:val="24"/>
          <w:szCs w:val="24"/>
          <w:lang w:val="uk-UA"/>
        </w:rPr>
        <w:t>План та організаційна структура лекції.</w:t>
      </w:r>
    </w:p>
    <w:tbl>
      <w:tblPr>
        <w:tblW w:w="0" w:type="auto"/>
        <w:tblInd w:w="-5" w:type="dxa"/>
        <w:tblLayout w:type="fixed"/>
        <w:tblLook w:val="0000" w:firstRow="0" w:lastRow="0" w:firstColumn="0" w:lastColumn="0" w:noHBand="0" w:noVBand="0"/>
      </w:tblPr>
      <w:tblGrid>
        <w:gridCol w:w="827"/>
        <w:gridCol w:w="2984"/>
        <w:gridCol w:w="2384"/>
        <w:gridCol w:w="1839"/>
        <w:gridCol w:w="1547"/>
      </w:tblGrid>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w:t>
            </w:r>
          </w:p>
          <w:p w:rsidR="0088636D" w:rsidRPr="0088636D" w:rsidRDefault="0088636D" w:rsidP="00956B42">
            <w:pPr>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п.п.</w:t>
            </w:r>
          </w:p>
        </w:tc>
        <w:tc>
          <w:tcPr>
            <w:tcW w:w="2984"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Основні  етапи лекції та їх зміст</w:t>
            </w:r>
          </w:p>
        </w:tc>
        <w:tc>
          <w:tcPr>
            <w:tcW w:w="2384"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Цілі у ступенях абстракції</w:t>
            </w:r>
          </w:p>
        </w:tc>
        <w:tc>
          <w:tcPr>
            <w:tcW w:w="1839"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Тип лекції. Обладнання лекції.</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Розподіл часу</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1</w:t>
            </w:r>
          </w:p>
        </w:tc>
        <w:tc>
          <w:tcPr>
            <w:tcW w:w="2984"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2</w:t>
            </w:r>
          </w:p>
        </w:tc>
        <w:tc>
          <w:tcPr>
            <w:tcW w:w="2384"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3</w:t>
            </w:r>
          </w:p>
        </w:tc>
        <w:tc>
          <w:tcPr>
            <w:tcW w:w="1839"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4</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5</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w:t>
            </w:r>
          </w:p>
          <w:p w:rsidR="0088636D" w:rsidRPr="0088636D" w:rsidRDefault="0088636D" w:rsidP="00956B42">
            <w:pPr>
              <w:snapToGrid w:val="0"/>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1.</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2.</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ІІ.</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3.</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ІІІ.</w:t>
            </w: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4.</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w:t>
            </w: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5.</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6.</w:t>
            </w:r>
          </w:p>
        </w:tc>
        <w:tc>
          <w:tcPr>
            <w:tcW w:w="2984" w:type="dxa"/>
            <w:tcBorders>
              <w:top w:val="single" w:sz="4" w:space="0" w:color="000000"/>
              <w:left w:val="single" w:sz="4" w:space="0" w:color="000000"/>
              <w:bottom w:val="single" w:sz="4" w:space="0" w:color="000000"/>
            </w:tcBorders>
          </w:tcPr>
          <w:p w:rsidR="0088636D" w:rsidRPr="0088636D" w:rsidRDefault="0088636D" w:rsidP="00956B42">
            <w:pPr>
              <w:snapToGrid w:val="0"/>
              <w:rPr>
                <w:rFonts w:ascii="Times New Roman" w:hAnsi="Times New Roman" w:cs="Times New Roman"/>
                <w:i/>
                <w:sz w:val="24"/>
                <w:szCs w:val="24"/>
                <w:lang w:val="uk-UA"/>
              </w:rPr>
            </w:pPr>
            <w:r w:rsidRPr="0088636D">
              <w:rPr>
                <w:rFonts w:ascii="Times New Roman" w:hAnsi="Times New Roman" w:cs="Times New Roman"/>
                <w:i/>
                <w:sz w:val="24"/>
                <w:szCs w:val="24"/>
                <w:lang w:val="uk-UA"/>
              </w:rPr>
              <w:lastRenderedPageBreak/>
              <w:t>Підготовчий етап.</w:t>
            </w:r>
          </w:p>
          <w:p w:rsidR="0088636D" w:rsidRPr="0088636D" w:rsidRDefault="0088636D" w:rsidP="00956B42">
            <w:pPr>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Визначення навчальної мети.</w:t>
            </w:r>
          </w:p>
          <w:p w:rsidR="0088636D" w:rsidRPr="0088636D" w:rsidRDefault="0088636D" w:rsidP="00956B42">
            <w:pPr>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 Забезпечення позитивної мотивації.</w:t>
            </w:r>
          </w:p>
          <w:p w:rsidR="0088636D" w:rsidRPr="0088636D" w:rsidRDefault="0088636D" w:rsidP="00956B42">
            <w:pPr>
              <w:rPr>
                <w:rFonts w:ascii="Times New Roman" w:hAnsi="Times New Roman" w:cs="Times New Roman"/>
                <w:i/>
                <w:sz w:val="24"/>
                <w:szCs w:val="24"/>
                <w:lang w:val="uk-UA"/>
              </w:rPr>
            </w:pPr>
            <w:r w:rsidRPr="0088636D">
              <w:rPr>
                <w:rFonts w:ascii="Times New Roman" w:hAnsi="Times New Roman" w:cs="Times New Roman"/>
                <w:i/>
                <w:sz w:val="24"/>
                <w:szCs w:val="24"/>
                <w:lang w:val="uk-UA"/>
              </w:rPr>
              <w:t>Основний етап.</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Викладення лекційного матеріалу за планом:</w:t>
            </w:r>
          </w:p>
          <w:p w:rsidR="0088636D" w:rsidRPr="0088636D" w:rsidRDefault="0088636D" w:rsidP="008512F9">
            <w:pPr>
              <w:numPr>
                <w:ilvl w:val="0"/>
                <w:numId w:val="6"/>
              </w:numPr>
              <w:suppressAutoHyphens/>
              <w:spacing w:after="0" w:line="240" w:lineRule="auto"/>
              <w:ind w:left="29" w:firstLine="331"/>
              <w:rPr>
                <w:rFonts w:ascii="Times New Roman" w:hAnsi="Times New Roman" w:cs="Times New Roman"/>
                <w:sz w:val="24"/>
                <w:szCs w:val="24"/>
                <w:lang w:val="uk-UA"/>
              </w:rPr>
            </w:pPr>
            <w:r w:rsidRPr="0088636D">
              <w:rPr>
                <w:rFonts w:ascii="Times New Roman" w:hAnsi="Times New Roman" w:cs="Times New Roman"/>
                <w:sz w:val="24"/>
                <w:szCs w:val="24"/>
                <w:lang w:val="uk-UA"/>
              </w:rPr>
              <w:t>Обов’язкове медичне страхування в Україні: стан та перспективи розвитку</w:t>
            </w:r>
          </w:p>
          <w:p w:rsidR="0088636D" w:rsidRPr="0088636D" w:rsidRDefault="0088636D" w:rsidP="008512F9">
            <w:pPr>
              <w:numPr>
                <w:ilvl w:val="0"/>
                <w:numId w:val="6"/>
              </w:numPr>
              <w:suppressAutoHyphens/>
              <w:spacing w:after="0" w:line="240" w:lineRule="auto"/>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Аналіз ринка медичного страхування України</w:t>
            </w:r>
          </w:p>
          <w:p w:rsidR="0088636D" w:rsidRPr="0088636D" w:rsidRDefault="0088636D" w:rsidP="008512F9">
            <w:pPr>
              <w:numPr>
                <w:ilvl w:val="0"/>
                <w:numId w:val="6"/>
              </w:numPr>
              <w:suppressAutoHyphens/>
              <w:spacing w:after="0" w:line="240" w:lineRule="auto"/>
              <w:ind w:left="0" w:firstLine="360"/>
              <w:rPr>
                <w:rFonts w:ascii="Times New Roman" w:hAnsi="Times New Roman" w:cs="Times New Roman"/>
                <w:sz w:val="24"/>
                <w:szCs w:val="24"/>
                <w:lang w:val="uk-UA"/>
              </w:rPr>
            </w:pPr>
            <w:r w:rsidRPr="0088636D">
              <w:rPr>
                <w:rFonts w:ascii="Times New Roman" w:hAnsi="Times New Roman" w:cs="Times New Roman"/>
                <w:sz w:val="24"/>
                <w:szCs w:val="24"/>
                <w:lang w:val="uk-UA"/>
              </w:rPr>
              <w:t>Моделі страхової медицини.</w:t>
            </w:r>
          </w:p>
          <w:p w:rsidR="0088636D" w:rsidRPr="0088636D" w:rsidRDefault="0088636D" w:rsidP="008512F9">
            <w:pPr>
              <w:numPr>
                <w:ilvl w:val="0"/>
                <w:numId w:val="6"/>
              </w:numPr>
              <w:suppressAutoHyphens/>
              <w:spacing w:after="0" w:line="240" w:lineRule="auto"/>
              <w:ind w:left="0" w:firstLine="360"/>
              <w:rPr>
                <w:rFonts w:ascii="Times New Roman" w:hAnsi="Times New Roman" w:cs="Times New Roman"/>
                <w:sz w:val="24"/>
                <w:szCs w:val="24"/>
                <w:lang w:val="uk-UA"/>
              </w:rPr>
            </w:pPr>
            <w:r w:rsidRPr="0088636D">
              <w:rPr>
                <w:rFonts w:ascii="Times New Roman" w:hAnsi="Times New Roman" w:cs="Times New Roman"/>
                <w:sz w:val="24"/>
                <w:szCs w:val="24"/>
                <w:lang w:val="uk-UA"/>
              </w:rPr>
              <w:t>Соціальне страхування в Україні: стан та особливості   на даному етапі економічного розвитку</w:t>
            </w:r>
          </w:p>
          <w:p w:rsidR="0088636D" w:rsidRPr="0088636D" w:rsidRDefault="0088636D" w:rsidP="008512F9">
            <w:pPr>
              <w:numPr>
                <w:ilvl w:val="0"/>
                <w:numId w:val="6"/>
              </w:numPr>
              <w:suppressAutoHyphens/>
              <w:spacing w:after="0" w:line="240" w:lineRule="auto"/>
              <w:ind w:left="0" w:firstLine="360"/>
              <w:rPr>
                <w:rFonts w:ascii="Times New Roman" w:hAnsi="Times New Roman" w:cs="Times New Roman"/>
                <w:sz w:val="24"/>
                <w:szCs w:val="24"/>
                <w:lang w:val="uk-UA"/>
              </w:rPr>
            </w:pPr>
            <w:r w:rsidRPr="0088636D">
              <w:rPr>
                <w:rFonts w:ascii="Times New Roman" w:hAnsi="Times New Roman" w:cs="Times New Roman"/>
                <w:sz w:val="24"/>
                <w:szCs w:val="24"/>
                <w:lang w:val="uk-UA"/>
              </w:rPr>
              <w:t>Медичне страхування, загальна характеристика</w:t>
            </w:r>
          </w:p>
          <w:p w:rsidR="0088636D" w:rsidRPr="0088636D" w:rsidRDefault="0088636D" w:rsidP="008512F9">
            <w:pPr>
              <w:numPr>
                <w:ilvl w:val="0"/>
                <w:numId w:val="6"/>
              </w:numPr>
              <w:suppressAutoHyphens/>
              <w:spacing w:after="0" w:line="240" w:lineRule="auto"/>
              <w:ind w:left="0" w:firstLine="360"/>
              <w:rPr>
                <w:rFonts w:ascii="Times New Roman" w:hAnsi="Times New Roman" w:cs="Times New Roman"/>
                <w:sz w:val="24"/>
                <w:szCs w:val="24"/>
                <w:lang w:val="uk-UA"/>
              </w:rPr>
            </w:pPr>
            <w:r w:rsidRPr="0088636D">
              <w:rPr>
                <w:rFonts w:ascii="Times New Roman" w:hAnsi="Times New Roman" w:cs="Times New Roman"/>
                <w:sz w:val="24"/>
                <w:szCs w:val="24"/>
                <w:lang w:val="uk-UA"/>
              </w:rPr>
              <w:t>Світовий досвід медичного страхування</w:t>
            </w:r>
          </w:p>
          <w:p w:rsidR="0088636D" w:rsidRPr="0088636D" w:rsidRDefault="0088636D" w:rsidP="008512F9">
            <w:pPr>
              <w:numPr>
                <w:ilvl w:val="0"/>
                <w:numId w:val="6"/>
              </w:numPr>
              <w:suppressAutoHyphens/>
              <w:spacing w:after="0" w:line="240" w:lineRule="auto"/>
              <w:ind w:left="0" w:firstLine="360"/>
              <w:rPr>
                <w:rFonts w:ascii="Times New Roman" w:hAnsi="Times New Roman" w:cs="Times New Roman"/>
                <w:sz w:val="24"/>
                <w:szCs w:val="24"/>
                <w:lang w:val="uk-UA"/>
              </w:rPr>
            </w:pPr>
            <w:r w:rsidRPr="0088636D">
              <w:rPr>
                <w:rFonts w:ascii="Times New Roman" w:hAnsi="Times New Roman" w:cs="Times New Roman"/>
                <w:sz w:val="24"/>
                <w:szCs w:val="24"/>
                <w:lang w:val="uk-UA"/>
              </w:rPr>
              <w:t>Медичне страхування в Україні</w:t>
            </w:r>
          </w:p>
          <w:p w:rsidR="0088636D" w:rsidRPr="0088636D" w:rsidRDefault="0088636D" w:rsidP="008512F9">
            <w:pPr>
              <w:numPr>
                <w:ilvl w:val="0"/>
                <w:numId w:val="6"/>
              </w:numPr>
              <w:suppressAutoHyphens/>
              <w:spacing w:after="0" w:line="240" w:lineRule="auto"/>
              <w:rPr>
                <w:rFonts w:ascii="Times New Roman" w:hAnsi="Times New Roman" w:cs="Times New Roman"/>
                <w:i/>
                <w:sz w:val="24"/>
                <w:szCs w:val="24"/>
                <w:lang w:val="uk-UA"/>
              </w:rPr>
            </w:pPr>
            <w:r w:rsidRPr="0088636D">
              <w:rPr>
                <w:rFonts w:ascii="Times New Roman" w:hAnsi="Times New Roman" w:cs="Times New Roman"/>
                <w:i/>
                <w:sz w:val="24"/>
                <w:szCs w:val="24"/>
                <w:lang w:val="uk-UA"/>
              </w:rPr>
              <w:t>Заключний етап.</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Резюме лекції. Загальні висновки.</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Відповідь лектора на </w:t>
            </w:r>
            <w:r w:rsidRPr="0088636D">
              <w:rPr>
                <w:rFonts w:ascii="Times New Roman" w:hAnsi="Times New Roman" w:cs="Times New Roman"/>
                <w:sz w:val="24"/>
                <w:szCs w:val="24"/>
                <w:lang w:val="uk-UA"/>
              </w:rPr>
              <w:lastRenderedPageBreak/>
              <w:t>можливі запитання.</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Завдання для самопідготовки.</w:t>
            </w:r>
          </w:p>
        </w:tc>
        <w:tc>
          <w:tcPr>
            <w:tcW w:w="2384" w:type="dxa"/>
            <w:tcBorders>
              <w:top w:val="single" w:sz="4" w:space="0" w:color="000000"/>
              <w:left w:val="single" w:sz="4" w:space="0" w:color="000000"/>
              <w:bottom w:val="single" w:sz="4" w:space="0" w:color="000000"/>
            </w:tcBorders>
          </w:tcPr>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I</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П</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Ш</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ІУ</w:t>
            </w: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tc>
        <w:tc>
          <w:tcPr>
            <w:tcW w:w="1839" w:type="dxa"/>
            <w:tcBorders>
              <w:top w:val="single" w:sz="4" w:space="0" w:color="000000"/>
              <w:left w:val="single" w:sz="4" w:space="0" w:color="000000"/>
              <w:bottom w:val="single" w:sz="4" w:space="0" w:color="000000"/>
            </w:tcBorders>
          </w:tcPr>
          <w:p w:rsidR="0088636D" w:rsidRPr="0088636D" w:rsidRDefault="0088636D" w:rsidP="00956B42">
            <w:pPr>
              <w:snapToGrid w:val="0"/>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Проектор </w:t>
            </w: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Список літератури, питання, завдання.</w:t>
            </w:r>
          </w:p>
        </w:tc>
        <w:tc>
          <w:tcPr>
            <w:tcW w:w="1547" w:type="dxa"/>
            <w:tcBorders>
              <w:top w:val="single" w:sz="4" w:space="0" w:color="000000"/>
              <w:left w:val="single" w:sz="4" w:space="0" w:color="000000"/>
              <w:bottom w:val="single" w:sz="4" w:space="0" w:color="000000"/>
              <w:right w:val="single" w:sz="4" w:space="0" w:color="000000"/>
            </w:tcBorders>
          </w:tcPr>
          <w:p w:rsidR="0088636D" w:rsidRPr="0088636D" w:rsidRDefault="0088636D" w:rsidP="00956B42">
            <w:pPr>
              <w:snapToGrid w:val="0"/>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5%</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85 – 90%</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5%</w:t>
            </w:r>
          </w:p>
        </w:tc>
      </w:tr>
    </w:tbl>
    <w:p w:rsidR="0088636D" w:rsidRPr="0088636D" w:rsidRDefault="0088636D" w:rsidP="0088636D">
      <w:pP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ab/>
      </w:r>
    </w:p>
    <w:p w:rsidR="0088636D" w:rsidRPr="0088636D" w:rsidRDefault="0088636D" w:rsidP="0088636D">
      <w:pPr>
        <w:rPr>
          <w:rFonts w:ascii="Times New Roman" w:hAnsi="Times New Roman" w:cs="Times New Roman"/>
          <w:b/>
          <w:bCs/>
          <w:iCs/>
          <w:sz w:val="24"/>
          <w:szCs w:val="24"/>
          <w:lang w:val="uk-UA"/>
        </w:rPr>
      </w:pPr>
      <w:r w:rsidRPr="0088636D">
        <w:rPr>
          <w:rFonts w:ascii="Times New Roman" w:hAnsi="Times New Roman" w:cs="Times New Roman"/>
          <w:b/>
          <w:bCs/>
          <w:iCs/>
          <w:sz w:val="24"/>
          <w:szCs w:val="24"/>
          <w:lang w:val="uk-UA"/>
        </w:rPr>
        <w:t>Зміст лекційного матеріалу (текст лекцій)</w:t>
      </w:r>
    </w:p>
    <w:p w:rsidR="0088636D" w:rsidRPr="0088636D" w:rsidRDefault="0088636D" w:rsidP="0088636D">
      <w:pPr>
        <w:rPr>
          <w:rFonts w:ascii="Times New Roman" w:hAnsi="Times New Roman" w:cs="Times New Roman"/>
          <w:b/>
          <w:bCs/>
          <w:iCs/>
          <w:sz w:val="24"/>
          <w:szCs w:val="24"/>
          <w:lang w:val="uk-UA"/>
        </w:rPr>
      </w:pPr>
    </w:p>
    <w:p w:rsidR="0032124B" w:rsidRPr="0032124B" w:rsidRDefault="0032124B" w:rsidP="008512F9">
      <w:pPr>
        <w:pStyle w:val="a8"/>
        <w:numPr>
          <w:ilvl w:val="1"/>
          <w:numId w:val="23"/>
        </w:numPr>
        <w:spacing w:after="200" w:line="276" w:lineRule="auto"/>
        <w:jc w:val="both"/>
        <w:rPr>
          <w:b/>
          <w:lang w:val="uk-UA"/>
        </w:rPr>
      </w:pPr>
      <w:r w:rsidRPr="0032124B">
        <w:rPr>
          <w:b/>
          <w:lang w:val="uk-UA"/>
        </w:rPr>
        <w:t>Історія становлення фармаконагляду в Україні.</w:t>
      </w:r>
    </w:p>
    <w:p w:rsid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lang w:val="uk-UA"/>
        </w:rPr>
      </w:pPr>
      <w:r w:rsidRPr="0032124B">
        <w:rPr>
          <w:rFonts w:ascii="Times New Roman" w:eastAsia="Times New Roman" w:hAnsi="Times New Roman" w:cs="Times New Roman"/>
          <w:color w:val="212529"/>
          <w:spacing w:val="5"/>
          <w:sz w:val="24"/>
          <w:szCs w:val="24"/>
          <w:lang w:val="uk-UA"/>
        </w:rPr>
        <w:t>Належну увагу проблемі безпеки лікування та здійсненню нагляду за несприятливими наслідками дії лікарських засобів (ЛЗ) почали приділяти наприкінці ХІХ – початку ХХ століття.</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rPr>
        <w:t>Останнє зумовлено низкою світових трагедій, що сталися на тлі застосування ЛЗ. Першою з них стала смерть 107 американців від «еліксиру» сульфаніламідного ЛЗ, до складу якого входив розчинник етиленгліколь.</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rPr>
        <w:t>Найбільш масштабною медикаментозною трагедією людства була так звана «талідомідова трагедія». Протягом 1957-1961 рр. у країнах Європи народилося близько 11000 дітей із вродженими вадами кінцівок (фокомелією), руки та ноги яких були спотворені та мали вигляд ласт тюленя. Причиною цього було застосування вагітними талідоміду у якості антиеметика та заспокійливого засобу.</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rPr>
        <w:t>Наступна трагедія, що приголомшила людство, сталася у 1971 році. Тоді було виявлено, що застосування діетилстильбестролу вагітними стало причиною виникнення злоякісних новоутворень піхви у дівчат пубертатного періоду.</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rPr>
        <w:t>Відтоді світова медична спільнота дійшла висновку про необхідність проведення всебічних серйозних досліджень на етапі розробки ЛЗ, а також здійснення нагляду за їх безпекою при їх широкому медичному застосуванні.</w:t>
      </w:r>
    </w:p>
    <w:p w:rsidR="0032124B" w:rsidRPr="0032124B" w:rsidRDefault="0032124B" w:rsidP="0032124B">
      <w:pPr>
        <w:shd w:val="clear" w:color="auto" w:fill="FFFFFF"/>
        <w:spacing w:before="100" w:beforeAutospacing="1"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lang w:val="uk-UA"/>
        </w:rPr>
        <w:t xml:space="preserve">У </w:t>
      </w:r>
      <w:r w:rsidRPr="0032124B">
        <w:rPr>
          <w:rFonts w:ascii="Times New Roman" w:eastAsia="Times New Roman" w:hAnsi="Times New Roman" w:cs="Times New Roman"/>
          <w:color w:val="212529"/>
          <w:spacing w:val="5"/>
          <w:sz w:val="24"/>
          <w:szCs w:val="24"/>
        </w:rPr>
        <w:t xml:space="preserve">країнах Європи, Сполучених Штатах Америки (США) починають створюватися агенції, на які покладаються функції здійснення контролю за ЛЗ. Наприклад, у США, з 30-х років минулого століття, центральною ланкою державної системи контролю за ЛЗ є Американське управління з контролю за продуктами та лікарськими засобами (FDA). Серед основних інституцій Європейського Союзу (ЄС) в сфері контролю за ЛЗ у 1993 р. </w:t>
      </w:r>
      <w:r w:rsidRPr="0032124B">
        <w:rPr>
          <w:rFonts w:ascii="Times New Roman" w:eastAsia="Times New Roman" w:hAnsi="Times New Roman" w:cs="Times New Roman"/>
          <w:color w:val="212529"/>
          <w:spacing w:val="5"/>
          <w:sz w:val="24"/>
          <w:szCs w:val="24"/>
        </w:rPr>
        <w:lastRenderedPageBreak/>
        <w:t>створений спеціалізований незалежний орган ЄС – Європейська агенція з оцінки лікарських препаратів (The European Medicines Agency – EMA). ЕМА проводить оцінку ЛЗ, призначених для лікування людини або для застосування у ветеринарії та здійснює спостереження за ними у післяреєстраційному періоді.</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lang w:val="uk-UA"/>
        </w:rPr>
      </w:pPr>
      <w:r w:rsidRPr="0032124B">
        <w:rPr>
          <w:rFonts w:ascii="Times New Roman" w:eastAsia="Times New Roman" w:hAnsi="Times New Roman" w:cs="Times New Roman"/>
          <w:color w:val="212529"/>
          <w:spacing w:val="5"/>
          <w:sz w:val="24"/>
          <w:szCs w:val="24"/>
        </w:rPr>
        <w:t>Здійснення нагляду за безпекою ЛЗ при їх медичному застосуванні є одним з основних напрямків у реалізації національної політики щодо ліків в усіх країнах світу. Міжнародний і національний регуляторний механізм нагляду за безпекою ЛЗ отримав назву – фармаконагляд.</w:t>
      </w:r>
      <w:r w:rsidRPr="0032124B">
        <w:rPr>
          <w:rFonts w:ascii="Times New Roman" w:eastAsia="Times New Roman" w:hAnsi="Times New Roman" w:cs="Times New Roman"/>
          <w:color w:val="212529"/>
          <w:spacing w:val="5"/>
          <w:sz w:val="24"/>
          <w:szCs w:val="24"/>
          <w:lang w:val="uk-UA"/>
        </w:rPr>
        <w:t xml:space="preserve"> </w:t>
      </w:r>
      <w:r w:rsidRPr="0032124B">
        <w:rPr>
          <w:rFonts w:ascii="Times New Roman" w:hAnsi="Times New Roman" w:cs="Times New Roman"/>
          <w:color w:val="000000"/>
          <w:sz w:val="24"/>
          <w:szCs w:val="24"/>
          <w:lang w:val="uk-UA"/>
        </w:rPr>
        <w:t>Здійснення основної місії фармаконагляду - покращання лікування пацієнтів та їх безпеки при застосуванні ЛЗ - стає можливим лише за наявності вичерпної, достовірної, якісної та об'єктивної інформації щодо безпеки та ефективності застосування лікарських засобів, джерелами якої є, у першу чергу, власники реєстраційних посвідчень на лікарські засоби, а також - працівники з медичною та/або фармацевтичною освітою, пацієнти та/або їх представники, організації, що представляють чи захищають безпеку та права пацієнтів.</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lang w:val="uk-UA"/>
        </w:rPr>
      </w:pPr>
      <w:r w:rsidRPr="0032124B">
        <w:rPr>
          <w:rFonts w:ascii="Times New Roman" w:eastAsia="Times New Roman" w:hAnsi="Times New Roman" w:cs="Times New Roman"/>
          <w:color w:val="212529"/>
          <w:spacing w:val="5"/>
          <w:sz w:val="24"/>
          <w:szCs w:val="24"/>
        </w:rPr>
        <w:t>Фармаконагляд  є  системою  та  процесом  одночасно. Відповідно  до</w:t>
      </w:r>
      <w:r w:rsidRPr="0032124B">
        <w:rPr>
          <w:rFonts w:ascii="Times New Roman" w:eastAsia="Times New Roman" w:hAnsi="Times New Roman" w:cs="Times New Roman"/>
          <w:color w:val="212529"/>
          <w:spacing w:val="5"/>
          <w:sz w:val="24"/>
          <w:szCs w:val="24"/>
          <w:lang w:val="uk-UA"/>
        </w:rPr>
        <w:t xml:space="preserve"> </w:t>
      </w:r>
      <w:r w:rsidRPr="0032124B">
        <w:rPr>
          <w:rFonts w:ascii="Times New Roman" w:eastAsia="Times New Roman" w:hAnsi="Times New Roman" w:cs="Times New Roman"/>
          <w:color w:val="212529"/>
          <w:spacing w:val="5"/>
          <w:sz w:val="24"/>
          <w:szCs w:val="24"/>
        </w:rPr>
        <w:t>визначення Всесвітньої організації охорони здоров’я (ВООЗ), </w:t>
      </w:r>
      <w:r w:rsidRPr="0032124B">
        <w:rPr>
          <w:rFonts w:ascii="Times New Roman" w:eastAsia="Times New Roman" w:hAnsi="Times New Roman" w:cs="Times New Roman"/>
          <w:b/>
          <w:bCs/>
          <w:color w:val="212529"/>
          <w:spacing w:val="5"/>
          <w:sz w:val="24"/>
          <w:szCs w:val="24"/>
        </w:rPr>
        <w:t>фармаконагляд </w:t>
      </w:r>
      <w:r w:rsidRPr="0032124B">
        <w:rPr>
          <w:rFonts w:ascii="Times New Roman" w:eastAsia="Times New Roman" w:hAnsi="Times New Roman" w:cs="Times New Roman"/>
          <w:color w:val="212529"/>
          <w:spacing w:val="5"/>
          <w:sz w:val="24"/>
          <w:szCs w:val="24"/>
        </w:rPr>
        <w:t>є науковою галуззю і практичною діяльністю, яка пов’язана</w:t>
      </w:r>
      <w:r w:rsidRPr="0032124B">
        <w:rPr>
          <w:rFonts w:ascii="Times New Roman" w:eastAsia="Times New Roman" w:hAnsi="Times New Roman" w:cs="Times New Roman"/>
          <w:color w:val="212529"/>
          <w:spacing w:val="5"/>
          <w:sz w:val="24"/>
          <w:szCs w:val="24"/>
          <w:lang w:val="uk-UA"/>
        </w:rPr>
        <w:t xml:space="preserve"> з </w:t>
      </w:r>
      <w:r w:rsidRPr="0032124B">
        <w:rPr>
          <w:rFonts w:ascii="Times New Roman" w:eastAsia="Times New Roman" w:hAnsi="Times New Roman" w:cs="Times New Roman"/>
          <w:color w:val="212529"/>
          <w:spacing w:val="5"/>
          <w:sz w:val="24"/>
          <w:szCs w:val="24"/>
        </w:rPr>
        <w:t>виявленням, оцінкою, розумінням та профілактикою несприятливих негативних наслідків або будь-яких проблем, пов’язаних із ЛЗ (ВООЗ, 2004).</w:t>
      </w:r>
      <w:r w:rsidRPr="0032124B">
        <w:rPr>
          <w:rFonts w:ascii="Times New Roman" w:eastAsia="Times New Roman" w:hAnsi="Times New Roman" w:cs="Times New Roman"/>
          <w:color w:val="212529"/>
          <w:spacing w:val="5"/>
          <w:sz w:val="24"/>
          <w:szCs w:val="24"/>
          <w:lang w:val="uk-UA"/>
        </w:rPr>
        <w:t xml:space="preserve"> У 80-х роках ХХ ст. сформувався та затвердився погляд на проблему безпеки ліків, що дозволив експертам ВООЗ розробити підходи щодо оцінки застосування ЛЗ і шляхи виявлення нових або рідкісних побічних реакцій (ПР). </w:t>
      </w:r>
      <w:r w:rsidRPr="0032124B">
        <w:rPr>
          <w:rFonts w:ascii="Times New Roman" w:eastAsia="Times New Roman" w:hAnsi="Times New Roman" w:cs="Times New Roman"/>
          <w:color w:val="212529"/>
          <w:spacing w:val="5"/>
          <w:sz w:val="24"/>
          <w:szCs w:val="24"/>
        </w:rPr>
        <w:t>У 1964 р. набуває чинності перша програма ВООЗ з моніторингу ПР ЛЗ. На теперішній час 104 країни є учасницями міжнародної Програми ВООЗ моніторингу безпеки ЛЗ. У 2002 р. Україна стала дійсним членом цієї Програми.</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lang w:val="uk-UA"/>
        </w:rPr>
      </w:pPr>
      <w:r w:rsidRPr="0032124B">
        <w:rPr>
          <w:rFonts w:ascii="Times New Roman" w:eastAsia="Times New Roman" w:hAnsi="Times New Roman" w:cs="Times New Roman"/>
          <w:bCs/>
          <w:iCs/>
          <w:color w:val="212529"/>
          <w:spacing w:val="5"/>
          <w:sz w:val="24"/>
          <w:szCs w:val="24"/>
          <w:lang w:val="uk-UA"/>
        </w:rPr>
        <w:t>Здійснення фармаконагляду дозволяє забезпечити ефективне та безпечне лікування хворих за умови своєчасного регулювання фармацевтичного ринку шляхом обмежень або припинення застосування небезпечних або неефективних ліків.</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color w:val="212529"/>
          <w:spacing w:val="5"/>
          <w:sz w:val="24"/>
          <w:szCs w:val="24"/>
        </w:rPr>
        <w:t>Основним результатом діяльності державних систем фармаконагляду у будь-якій країні світу є вилучення з фармацевтичного ринку продукції, ризик від застосування якої переважає над користю. Слід підкреслити, що в усіх країнах, прийняття різних прогресивних доповнень до чинного законодавства</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lang w:val="uk-UA"/>
        </w:rPr>
      </w:pPr>
      <w:r w:rsidRPr="0032124B">
        <w:rPr>
          <w:rFonts w:ascii="Times New Roman" w:eastAsia="Times New Roman" w:hAnsi="Times New Roman" w:cs="Times New Roman"/>
          <w:color w:val="212529"/>
          <w:spacing w:val="5"/>
          <w:sz w:val="24"/>
          <w:szCs w:val="24"/>
        </w:rPr>
        <w:t>Однак, в минулому столітті, особливо в його другій половині, почали переважати погляди, які обґрунтовано доводили, що без чіткого правового поля та здійснення нагляду за безпекою ЛЗ контроль за ЛЗ буде далеко не повним, а наслідки для населення – незворотньо фатальними. Таке розуміння стало підґрунтям</w:t>
      </w:r>
      <w:r w:rsidRPr="0032124B">
        <w:rPr>
          <w:rFonts w:ascii="Times New Roman" w:eastAsia="Times New Roman" w:hAnsi="Times New Roman" w:cs="Times New Roman"/>
          <w:color w:val="212529"/>
          <w:spacing w:val="5"/>
          <w:sz w:val="24"/>
          <w:szCs w:val="24"/>
          <w:lang w:val="uk-UA"/>
        </w:rPr>
        <w:t xml:space="preserve"> </w:t>
      </w:r>
      <w:r w:rsidRPr="0032124B">
        <w:rPr>
          <w:rFonts w:ascii="Times New Roman" w:eastAsia="Times New Roman" w:hAnsi="Times New Roman" w:cs="Times New Roman"/>
          <w:color w:val="212529"/>
          <w:spacing w:val="5"/>
          <w:sz w:val="24"/>
          <w:szCs w:val="24"/>
        </w:rPr>
        <w:t>створення нового напрямку діяльності – фармаконагляду. Сланом на сьогодні нагляд за безпекою ЛЗ є складовою державної політики у сфері охорони здоров’я, що підкреслює значущість цього виду діяльності для системи охорони здоров’я та безпеки суспільства.</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В Україні державна система фармаконагляду існує з 1996 р. На сьогодні вона представлена такими ланками:</w:t>
      </w:r>
    </w:p>
    <w:p w:rsidR="0032124B" w:rsidRPr="0032124B" w:rsidRDefault="0032124B" w:rsidP="008512F9">
      <w:pPr>
        <w:numPr>
          <w:ilvl w:val="0"/>
          <w:numId w:val="2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центральною (Департамент післяреєстраційного нагляду у складі ДП «Державний експертний центр МОЗ України», далі — Центр);</w:t>
      </w:r>
    </w:p>
    <w:p w:rsidR="0032124B" w:rsidRPr="0032124B" w:rsidRDefault="0032124B" w:rsidP="008512F9">
      <w:pPr>
        <w:numPr>
          <w:ilvl w:val="0"/>
          <w:numId w:val="2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регіональною (регіональні відділення Центру, що функціонують в усіх областях України та Києві);</w:t>
      </w:r>
    </w:p>
    <w:p w:rsidR="0032124B" w:rsidRPr="0032124B" w:rsidRDefault="0032124B" w:rsidP="008512F9">
      <w:pPr>
        <w:numPr>
          <w:ilvl w:val="0"/>
          <w:numId w:val="2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локальною (особи, відповідальні за здійснення фармаконагляду в закладах охорони здоров’я).</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lastRenderedPageBreak/>
        <w:t>Крім державної системи фармаконагляду, кожен заявник на державну реєстрацію лікарського засобу в Україні має створити та підтримувати власну систему фармаконагляду з системою якості. Без виконання цієї умови препарат не дозволятиметься до медичного застосування в Україні. Адже здійснення основної місії фармаконагляду — покращення лікування пацієнтів та їх безпеки під час застосування ліків — стає можливим лише за наявності вичерпної, достовірної, якісної та об’єктивної інформації щодо безпеки та ефективності застосування лікарських засобів, джерелами якої є у першу чергу власники реєстраційних посвідчень на препарати, а також — медичні працівники, пацієнти та їх представники.</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Слід зазначити, що Україна має досвід використання пасивних та активних методів збору інформації про несприятливі наслідки застосування лікарських засобів. Так, за допомогою активного фармаконагляду минулого року успішно було вирішено кризове питання доцільності використання Креазиму для лікування муковісцидозу у дітей.</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Особливого значення фармаконагляд набуває під час реалізації державних програм охорони здоров’я, метою яких є успішне лікування соціально небезпечних захворювань, тяжких недугів та запобігання виникненню керованих інфекцій.</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color w:val="333333"/>
          <w:sz w:val="24"/>
          <w:szCs w:val="24"/>
        </w:rPr>
        <w:t xml:space="preserve">Одним із завдань фармаконагляду, як зазначалося вище, є виявлення медичних помилок, що </w:t>
      </w:r>
      <w:r w:rsidRPr="0032124B">
        <w:rPr>
          <w:rFonts w:ascii="Times New Roman" w:eastAsia="Times New Roman" w:hAnsi="Times New Roman" w:cs="Times New Roman"/>
          <w:color w:val="333333"/>
          <w:sz w:val="24"/>
          <w:szCs w:val="24"/>
        </w:rPr>
        <w:t>призвели до розвитку побічних реакцій, та розробка заходів з їх мінімізації. Адже медичні помилки можуть суттєво вплинути на лікування, його результати та оцінку лікарських засобів. Приклади таких помилок, виявлених у результаті аналізу повідомлень про відсутність ефективності препаратів у цьому році, включають порушення у підходах до лікування гіпертонічної хвороби та ВІЛ.</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 xml:space="preserve">Повідомлення про випадки побічних реакцій та відсутності ефективності ліків, що надходять від вітчизняних лікарів, стають підґрунтям для внесення змін та доповнень до інструкції для медичного застосування препаратів не лише в Україні, а іноді й у світі, тимчасового чи повного </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Основним результатом діяльності державної системи фармаконагляду є наявність на фармацевтичному ринку України лікарських засобів з прийнятним співвідношенням користь/ризик, тобто користь від застосування яких переважає над ризиком.</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За результатами здійснення фармаконагляду в нашій країні лише протягом 2012–2014 рр. було прийнято такі регуляторні рішення:</w:t>
      </w:r>
    </w:p>
    <w:p w:rsidR="0032124B" w:rsidRPr="0032124B" w:rsidRDefault="0032124B" w:rsidP="008512F9">
      <w:pPr>
        <w:numPr>
          <w:ilvl w:val="0"/>
          <w:numId w:val="26"/>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2012 р. — обмежено медичне застосування триметазидину, кальцитоніну у лікарській формі ампули; заборонено медичне застосування кальцитоніну у формі спрей назальний;</w:t>
      </w:r>
    </w:p>
    <w:p w:rsidR="0032124B" w:rsidRPr="0032124B" w:rsidRDefault="0032124B" w:rsidP="008512F9">
      <w:pPr>
        <w:numPr>
          <w:ilvl w:val="0"/>
          <w:numId w:val="26"/>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2013 р. — обмежено медичне застосування толперизону, препаратів ГЕК, лікарських засобів, що містять метоклопрамід та групи гестагенів, переважно прогестерону;</w:t>
      </w:r>
    </w:p>
    <w:p w:rsidR="0032124B" w:rsidRPr="0032124B" w:rsidRDefault="0032124B" w:rsidP="008512F9">
      <w:pPr>
        <w:numPr>
          <w:ilvl w:val="0"/>
          <w:numId w:val="26"/>
        </w:num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color w:val="333333"/>
          <w:sz w:val="24"/>
          <w:szCs w:val="24"/>
        </w:rPr>
        <w:t>2014 р. — обмежено медичне застосування диклофенаку, інгібіторів ангіотензинперетворюючого ферменту та блокаторів рецепторів ангіотензину; заборонено медичне застосування кетоконазолу для перорального застосування.</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Система фармаконагляду України була позитивно оцінена експертами ВООЗ та визнана дієвою ще в 2002 р. Саме тоді нашу державу була прийнято дійсним членом Програми ВООЗ з міжнародного моніторингу лікарських засобів.</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Повторний аудит вітчизняної системи фармаконагляду було проведено ВООЗ у 2008 р. За його результатами ця організація визнала нашу систему найкращою серед країн СНД.</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Втретє аудит системи фармаконагляду проводився у 2011</w:t>
      </w:r>
      <w:r w:rsidRPr="0032124B">
        <w:rPr>
          <w:rFonts w:ascii="Times New Roman" w:eastAsia="Times New Roman" w:hAnsi="Times New Roman" w:cs="Times New Roman"/>
          <w:color w:val="333333"/>
          <w:sz w:val="24"/>
          <w:szCs w:val="24"/>
        </w:rPr>
        <w:softHyphen/>
        <w:t>–2012 рр. у рамках реалізації Програми зміцнення фармацевтичних систем (Strengthening Pharmaceutical Systems — SPS) в Україні, фінансованого Агенцією США з міжнародного розвитку (USAID). Результати цього аудиту були надані МОЗ України у 2013 р. та розміщені на сайті Центру на сторінці «Фармаконагляд» (</w:t>
      </w:r>
      <w:r w:rsidRPr="0032124B">
        <w:rPr>
          <w:rFonts w:ascii="Times New Roman" w:eastAsia="Times New Roman" w:hAnsi="Times New Roman" w:cs="Times New Roman"/>
          <w:b/>
          <w:bCs/>
          <w:i/>
          <w:iCs/>
          <w:color w:val="333333"/>
          <w:sz w:val="24"/>
          <w:szCs w:val="24"/>
        </w:rPr>
        <w:t>www</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dec</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gov</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w:t>
      </w:r>
      <w:r w:rsidRPr="0032124B">
        <w:rPr>
          <w:rFonts w:ascii="Times New Roman" w:eastAsia="Times New Roman" w:hAnsi="Times New Roman" w:cs="Times New Roman"/>
          <w:b/>
          <w:bCs/>
          <w:color w:val="333333"/>
          <w:sz w:val="24"/>
          <w:szCs w:val="24"/>
        </w:rPr>
        <w:t> </w:t>
      </w:r>
      <w:r w:rsidRPr="0032124B">
        <w:rPr>
          <w:rFonts w:ascii="Times New Roman" w:eastAsia="Times New Roman" w:hAnsi="Times New Roman" w:cs="Times New Roman"/>
          <w:b/>
          <w:bCs/>
          <w:i/>
          <w:iCs/>
          <w:color w:val="333333"/>
          <w:sz w:val="24"/>
          <w:szCs w:val="24"/>
        </w:rPr>
        <w:t>ua</w:t>
      </w:r>
      <w:r w:rsidRPr="0032124B">
        <w:rPr>
          <w:rFonts w:ascii="Times New Roman" w:eastAsia="Times New Roman" w:hAnsi="Times New Roman" w:cs="Times New Roman"/>
          <w:color w:val="333333"/>
          <w:sz w:val="24"/>
          <w:szCs w:val="24"/>
        </w:rPr>
        <w:t>). Оцінка системи фармаконагляду відбувалася з використанням Інструменту для оцінки фармаконагляду на основі індикаторів (Indicator</w:t>
      </w:r>
      <w:r w:rsidRPr="0032124B">
        <w:rPr>
          <w:rFonts w:ascii="Times New Roman" w:eastAsia="Times New Roman" w:hAnsi="Times New Roman" w:cs="Times New Roman"/>
          <w:color w:val="333333"/>
          <w:sz w:val="24"/>
          <w:szCs w:val="24"/>
        </w:rPr>
        <w:softHyphen/>
        <w:t xml:space="preserve">Based </w:t>
      </w:r>
      <w:r w:rsidRPr="0032124B">
        <w:rPr>
          <w:rFonts w:ascii="Times New Roman" w:eastAsia="Times New Roman" w:hAnsi="Times New Roman" w:cs="Times New Roman"/>
          <w:color w:val="333333"/>
          <w:sz w:val="24"/>
          <w:szCs w:val="24"/>
        </w:rPr>
        <w:lastRenderedPageBreak/>
        <w:t>Pharmacovigilance Assessment Tool — IPAT)</w:t>
      </w:r>
      <w:r w:rsidRPr="0032124B">
        <w:rPr>
          <w:rFonts w:ascii="Times New Roman" w:eastAsia="Times New Roman" w:hAnsi="Times New Roman" w:cs="Times New Roman"/>
          <w:i/>
          <w:iCs/>
          <w:color w:val="333333"/>
          <w:sz w:val="24"/>
          <w:szCs w:val="24"/>
        </w:rPr>
        <w:t>.</w:t>
      </w:r>
      <w:r w:rsidRPr="0032124B">
        <w:rPr>
          <w:rFonts w:ascii="Times New Roman" w:eastAsia="Times New Roman" w:hAnsi="Times New Roman" w:cs="Times New Roman"/>
          <w:color w:val="333333"/>
          <w:sz w:val="24"/>
          <w:szCs w:val="24"/>
        </w:rPr>
        <w:t> За результатами цього аудиту систему фармаконагляду України було визнано найкращою серед 40 країн, де проводили аналогічні перевірки.</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Згідно з основним показником дієвості системи фармаконагляду ВООЗ країна повинна отримувати не менше 100 карт-повідомлень про побічні реакції на лікарські засоби на 1 млн населення. У 2013 р. цей показник у нашій країні сягнув 365 повідомлень на 1 млн населення, що є свідченням оптимального рівня рапортування, рекомендованого цією організацією. Станом на сьогодні база даних Департаменту післяреєстраційного нагляду містить понад 92 тис. повідомлень про побічні реакції, отриманих від вітчизняних лікарів.</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Слід зазначити, що протягом останніх років рівень активності закладів охорони здоров’я та лікарів у здійсненні фармаконагляду має тенденцію до зростання. Цей факт свідчить про стійкість системи фармаконагляду, на яку не вплинули події, що відбуваються цього року на півдні та сході країни. Проте слід зазначити, що повідомлення про побічні реакції на препарати надходять лише з 57% закладів охорони здоров’я. Не всі регіони однаково активні в наданні інформації про несприятливі наслідки застосування ліків. Є й такі, звідки надходить невиправдано мізерна кількість повідомлень.</w:t>
      </w:r>
    </w:p>
    <w:p w:rsidR="0032124B" w:rsidRPr="0032124B" w:rsidRDefault="0032124B" w:rsidP="0032124B">
      <w:pPr>
        <w:shd w:val="clear" w:color="auto" w:fill="FFFFFF"/>
        <w:spacing w:after="150" w:line="240" w:lineRule="auto"/>
        <w:jc w:val="both"/>
        <w:rPr>
          <w:rFonts w:ascii="Times New Roman" w:eastAsia="Times New Roman" w:hAnsi="Times New Roman" w:cs="Times New Roman"/>
          <w:color w:val="333333"/>
          <w:sz w:val="24"/>
          <w:szCs w:val="24"/>
        </w:rPr>
      </w:pPr>
      <w:r w:rsidRPr="0032124B">
        <w:rPr>
          <w:rFonts w:ascii="Times New Roman" w:eastAsia="Times New Roman" w:hAnsi="Times New Roman" w:cs="Times New Roman"/>
          <w:color w:val="333333"/>
          <w:sz w:val="24"/>
          <w:szCs w:val="24"/>
        </w:rPr>
        <w:t>Така ситуація значною мірою залежить від позиції керівного складу системи охорони здоров’я в регіонах та його розуміння й прихильності до здійснення фармаконагляду. Значною прогалиною є відсутність у більшості закладів охорони здоров’я спеціалістів — клінічних провізорів. Крім того, у значній частині таких закладів робота відповідальних за фармаконагляд здійснюється формально. Тому необхідно розробити більш чіткі вимоги до фармаконагляду в системі охорони здоров’я та дієві інструменти для його здійснення.</w:t>
      </w:r>
    </w:p>
    <w:p w:rsidR="0032124B" w:rsidRPr="0032124B" w:rsidRDefault="0032124B" w:rsidP="0032124B">
      <w:pPr>
        <w:jc w:val="both"/>
        <w:rPr>
          <w:rFonts w:ascii="Times New Roman" w:hAnsi="Times New Roman" w:cs="Times New Roman"/>
          <w:color w:val="333333"/>
          <w:sz w:val="24"/>
          <w:szCs w:val="24"/>
        </w:rPr>
      </w:pPr>
      <w:r w:rsidRPr="0032124B">
        <w:rPr>
          <w:rFonts w:ascii="Times New Roman" w:hAnsi="Times New Roman" w:cs="Times New Roman"/>
          <w:color w:val="333333"/>
          <w:sz w:val="24"/>
          <w:szCs w:val="24"/>
        </w:rPr>
        <w:t>В Україні система Ф. існує з 1996 р. і здійснюється ДЕЦ (далі — Центр), у структурі якого є Управління післяреєстраційного нагляду (далі — Управління). Сюди надходить, обробляється та аналізується інформація про ПР ЛП, які є на фармацевтичному ринку. До складу Управління входять регіональні відділення, співробітники яких співпрацюють з керівниками закладів охорони здоров’я та лікарями в усіх регіонах України. Система Ф. інтегрована у світову мережу з центром ВООЗ (м. Уппсала, Швеція).</w:t>
      </w:r>
    </w:p>
    <w:p w:rsidR="0032124B" w:rsidRPr="0032124B" w:rsidRDefault="0032124B" w:rsidP="0032124B">
      <w:pPr>
        <w:jc w:val="both"/>
        <w:rPr>
          <w:rFonts w:ascii="Times New Roman" w:hAnsi="Times New Roman" w:cs="Times New Roman"/>
          <w:b/>
          <w:sz w:val="24"/>
          <w:szCs w:val="24"/>
        </w:rPr>
      </w:pPr>
      <w:r w:rsidRPr="0032124B">
        <w:rPr>
          <w:rFonts w:ascii="Times New Roman" w:hAnsi="Times New Roman" w:cs="Times New Roman"/>
          <w:color w:val="333333"/>
          <w:sz w:val="24"/>
          <w:szCs w:val="24"/>
        </w:rPr>
        <w:t xml:space="preserve">Упровадження в Україні системи Ф. в 1996–2001 рр., гармонізованої за своєю правовою, регламентною базою та організаційними засадами з міжнародними вимогами (WHO, ЄС), стало суттєвим кроком вперед на шляху вдосконалення регуляторної системи та реалізації державної політики щодо ліків. </w:t>
      </w:r>
    </w:p>
    <w:p w:rsidR="0032124B" w:rsidRPr="0032124B" w:rsidRDefault="0032124B" w:rsidP="008512F9">
      <w:pPr>
        <w:pStyle w:val="a8"/>
        <w:numPr>
          <w:ilvl w:val="1"/>
          <w:numId w:val="23"/>
        </w:numPr>
        <w:spacing w:after="200" w:line="276" w:lineRule="auto"/>
        <w:jc w:val="both"/>
        <w:rPr>
          <w:b/>
          <w:lang w:val="uk-UA"/>
        </w:rPr>
      </w:pPr>
      <w:r w:rsidRPr="0032124B">
        <w:rPr>
          <w:b/>
          <w:lang w:val="uk-UA"/>
        </w:rPr>
        <w:t xml:space="preserve">Нормативна база здійснення фармаконагляду в Україні. </w:t>
      </w:r>
    </w:p>
    <w:p w:rsidR="0032124B" w:rsidRPr="0032124B" w:rsidRDefault="0032124B" w:rsidP="0032124B">
      <w:pPr>
        <w:pStyle w:val="a8"/>
        <w:ind w:left="1440"/>
        <w:jc w:val="both"/>
        <w:rPr>
          <w:b/>
          <w:lang w:val="uk-UA"/>
        </w:rPr>
      </w:pP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ФАРМАКОНАГЛЯД (pharmacovigilance) ВООЗ визначає як науку та комплекс заходів щодо виявлення, оцінки, розуміння та попередження розвитку побічних ефектів або будь-яких інших несприятливих явищ, пов’язаних із застосуванням ліків.</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Згідно з наказом МОЗ України від 27.12.2006 р. № 898, Фармаконагляд — це державна система збору, наукової оцінки та контролю інформації про побічні реакції (ПР) ЛП в умовах їх звичайного застосування з метою прийняття відповідних регуляторних рішень.</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У більшості країн відповідальність за здійснення процесу контролю в післяреєстраційний період ЛП покладена на виробника, з одного боку, а з іншого — на державному рівні — на регуляторний орган, що контролює здійснення фармаконагляду. Система фармаконаглядута збору даних ПР повинна існувати на кожному виробництві ЛП та в представництві, адже саме виробник несе відповідальність за наслідки застосування ліків.</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lastRenderedPageBreak/>
        <w:t>Моніторинг фармаконагляду. містить такі поняття:</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Побічна дія (ПД) (побічний ефект) — будь-яка ненавмисна дія ліків, яка виходить поза межі їх очікуваної терапевтичної дії, зумовлена фармакологічними властивостями, що проявляється при застосуванні в рекомендованих дозах.</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ПР ліків — будь-яка ненавмисна та шкідлива для організму людини реакція, яка виникла при їх застосуванні у звичайних дозах з метою профілактики, лікування, діагностики захворювання, модифікації фізіологічної функції. ПР ліків бувають передбаченими та непередбаченими.</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Передбачена ПР — ПР, характер або тяжкість якої узгоджується з наявною інформацією про ЛП (напр. з інструкцією для медичного застосування чи з листком-вкладишем).</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ПР ЛП за M.D. Rawling, J.W. Thompson, 1991 р. класифікують за такими типами:</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1) тип А — залежать від дози; поділяють на ПР, що залежать від надлишкової терапевтичної дії, пов’язаної власне з фармакологічними властивостями ЛП; токсичні ПР, що характерні для ЛП з вузькою терапевтичною дією, вторинні ПР, зумовлені післядією ЛП;</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2) тип В — не залежать від дози (імуноалергічні ПР, генетично детерміновані);</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3) тип С — наслідок тривалого застосування ЛП: толерантність (нітрати, центральні α-адреноміметики), синдром відміни (глюкокортикоїди, блокатори β-адренорецепторів), медикаментозна залежність (окремі психотропні ЛП, наркотичні анальгетики), кумулятивний ефект (серцеві глікозиди, інгібітори МАО), пригнічення утворення гормонів (глюкокортикоїди);</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4) тип D — відтерміновані реакції (мутагенні, канцерогенні (діетилстильбестрол), тератогенні (талідомід).</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Непередбачена ПР — ПР, характер або тяжкість якої не узгоджується з наявною інформацією про ЛП, напр. з інструкцією для медичного застосування чи з листком-вкладишем, тобто йдеться про невідому реакцію на препарат.</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Серйозні ПР — реакції, які сталися при застосуванні ЛП, що призвели чи являють собою: загрозу життю пацієнта; призвели до втрати працездатності; потребують госпіталізації чи подовження її термінів; призводять до смерті; викликають розвиток новоутворень; викликають вроджені аномалії розвитку.</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Несерйозні ПР — будь-які ПР ЛП, які не відповідають визначенню серйозної ПР.</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За ступенем тяжкості клінічних проявів ПР класифікують на: легкі (свербіж, висипання) — симптоми зникають через 3 дні самостійно або після призначення антигістамінних ЛП; середні (кропив’янка, набряк Квінке, екзематозний дерматит, мультиформна еритема, лихоманка до 39 °С, полі- чи моноартрит, токсико-алергічний міокардит) — симптоми зникають через 4–5 днів, потребують призначення антигістамінних ЛП, глюкокортикоїдів у середніх дозах — 20–40 мг; тяжкі (ексфоліативний дерматит, токсикоепідермальний некроліз (синдром Лайєлла), анафілактичний шок, що супроводжується ураженням внутрішніх органів, напр. міокардит з порушенням ритму, нефротичний синдром, поліорганна недостатність) — симптоми зникають через 7–10 днів після комбінованого застосування антигістамінних ЛП, глюкокортикоїдів, адреноміметиків та ін.</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lastRenderedPageBreak/>
        <w:t>Основними напрямками роботи системи фармаконагляду є: інформаційне та методичне забезпечення системи охорони здоров’я з питань безпеки ЛП; здійснення збору, аналізу та узагальнення інформації про безпеку (див. Безпека ліків) та ефективність (див. Ефективність ліків) застосування ЛП, отриманої від лікарів, виробників, міжнародних організацій; здійснення контролю за функціонуванням фармаконагляду в системі охорони здоров’я та виробництва (представництва) ЛП; підготовка пропозицій для МОЗ України про повну чи тимчасову заборону медичного застосування ЛП, внесення доповнень чи змін в інструкцію щодо застосування ліків; проведення спеціалізованої експертної оцінки перереєстраційних матеріалів стосовно безпеки ЛП.</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Сьогодні основним джерелом інформації про ПР ЛП в Україні є лікар, який згідно з наказом МОЗ України від 27.12.2006 р. № 898, у разі виникнення ПР при застосуванні ЛП повинен заповнити карту-повідомлення та надіслати її до Управління. Лише протягом 1996–2009 рр. до Управління Центру надійшло понад 36 000 повідомлень про ПР ЛП. Отримана інформація про ПР ЛП сприяє прийняттю відповідних рішень щодо подальшої їх долі на фармацевтичному ринку України та їх медичного застосування. Завдяки здійсненню фармаконагляду в Україні приймаються такі регулярні рішення, як «заборонено медичне застосування» (фенацетин, циметидин, гемодез, препарати, що містять кава-кава), «обмежено медичне застосування» (метамізол натрію, нітрофурани, еуфілін, стабілізований етилендіаміном) та ін. Інформація, що надходить до Центру про ПР ЛП, є конфіденційною, а лікар жодних адміністративних утисків не зазнає навіть у випадку, коли ПР ліків є наслідком медичної помилки. З метою недопущення виявлених помилок іншими лікарями про них повідомляється в статтях в узагальненому вигляді без зазначення прізвищ та лікувально-профілактичних закладів. Створена нормативно-правова база щодо здійснення моніторингу ПР ліків та затверджена відповідними наказами МОЗ України (наказ МОЗ України від 24.07.2009 р. № 531 «Про затвердження порядку проведення моніторингу безпеки та ефективності лікарських засобів у стаціонарах закладів охорони здоров’я»; наказ МОЗ України від 01.09.2009 р. № 654 «Про затвердження порядку заходів щодо покращання, здійснення післяреєстраційного нагляду за безпекою та ефективністю лікарських засобів та моніторингу безпеки та ефективності лікарських засобів у стаціонарах закладів охорони здоров’я»).</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Оскільки законодавство України у сфері фармаконагляду гармонізоване з європейським, воно також змінилося. </w:t>
      </w:r>
      <w:hyperlink r:id="rId28" w:tgtFrame="_blank" w:history="1">
        <w:r w:rsidRPr="0032124B">
          <w:rPr>
            <w:rStyle w:val="a6"/>
            <w:color w:val="337AB7"/>
          </w:rPr>
          <w:t>Наказом МОЗ України від 29.12.2011 р. №1005</w:t>
        </w:r>
      </w:hyperlink>
      <w:r w:rsidRPr="0032124B">
        <w:rPr>
          <w:color w:val="333333"/>
        </w:rPr>
        <w:t> було внесені суттєві зміни та доповнення до наказу МОЗ України від 27.12.2006 р. № 898 «Про затвердження Порядку здійснення нагляду за побічними реакціями лікарських засобів, дозволених до медичного застосування».</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Фундаментальними змінами європейського законодавства стало розширення понять «побічна реакція» та «фармаконагляд». </w:t>
      </w:r>
      <w:r w:rsidRPr="0032124B">
        <w:rPr>
          <w:rStyle w:val="bold"/>
          <w:bCs/>
          <w:color w:val="333333"/>
        </w:rPr>
        <w:t>Ці зміни своєчасно були відображені і в наказі МОЗ України № 898.</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До процесу інформування про підозрювані побічні реакції були включені, крім обов’язкових джерел (фармацевтичні компанії та компетентні органи країн ЄС), ще й споживачі лікарських засобів, лікарі, фармацевти, медичні сестри та ін.</w:t>
      </w:r>
    </w:p>
    <w:p w:rsidR="0032124B" w:rsidRPr="0032124B" w:rsidRDefault="0032124B" w:rsidP="0032124B">
      <w:pPr>
        <w:pStyle w:val="a7"/>
        <w:shd w:val="clear" w:color="auto" w:fill="FFFFFF"/>
        <w:spacing w:before="0" w:beforeAutospacing="0" w:after="150" w:afterAutospacing="0"/>
        <w:jc w:val="both"/>
        <w:rPr>
          <w:color w:val="333333"/>
        </w:rPr>
      </w:pPr>
      <w:r w:rsidRPr="0032124B">
        <w:rPr>
          <w:rStyle w:val="bold"/>
          <w:bCs/>
          <w:color w:val="333333"/>
        </w:rPr>
        <w:t>Починаючи з лютого 2012 р. в Україні також значно розширилося коло джерел інформації про побічні реакції/відсутність ефективності препаратів. На сьогодні до нього входять заявники, лікарі, медичні сестри, фельдшери, акушери, провізори, фармацевти, пацієнти та організації, що захищають їх права та безпеку (розділи 3, 4 наказу МОЗ України № 898).</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 xml:space="preserve">У складі Європейської медичної агенції (ЄМА) створено комітет з оцінки ризиків (Pharmacovigilance Risk Assessment Committee — PRAC), у сферу діяльності якого входять усі </w:t>
      </w:r>
      <w:r w:rsidRPr="0032124B">
        <w:rPr>
          <w:color w:val="333333"/>
        </w:rPr>
        <w:lastRenderedPageBreak/>
        <w:t>аспекти управління ризиками лікарських засобів. Таким чином, в ЄС уперше узаконено концепцію виявлення сигналів та чітко розподілено функції і обов’язки ЄМА та держав-членів.</w:t>
      </w:r>
    </w:p>
    <w:p w:rsidR="0032124B" w:rsidRPr="0032124B" w:rsidRDefault="0032124B" w:rsidP="0032124B">
      <w:pPr>
        <w:pStyle w:val="a7"/>
        <w:shd w:val="clear" w:color="auto" w:fill="FFFFFF"/>
        <w:spacing w:before="0" w:beforeAutospacing="0" w:after="150" w:afterAutospacing="0"/>
        <w:jc w:val="both"/>
        <w:rPr>
          <w:color w:val="333333"/>
        </w:rPr>
      </w:pPr>
      <w:r w:rsidRPr="0032124B">
        <w:rPr>
          <w:rStyle w:val="bold"/>
          <w:bCs/>
          <w:color w:val="333333"/>
        </w:rPr>
        <w:t>Такі вимоги висуваються до заявника і в Україні (розділ 8 наказу МОЗ України № 898</w:t>
      </w:r>
      <w:r w:rsidRPr="0032124B">
        <w:rPr>
          <w:rStyle w:val="bold"/>
          <w:b/>
          <w:bCs/>
          <w:color w:val="333333"/>
        </w:rPr>
        <w:t>).</w:t>
      </w:r>
      <w:r w:rsidRPr="0032124B">
        <w:rPr>
          <w:color w:val="333333"/>
        </w:rPr>
        <w:t> Вони передбачають створення, забезпечення та гарантування функціонування належної системи фармаконагляду в Україні. Це є обов’язковою умовою перебування лікарського засобу на вітчизняному ринку.</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В Україні в усіх фармацевтичних компаніях призначено відповідальних за здійснення фармаконагляду (контактні особи). Це особа з медичною або фармацевтичною освітою, яка має базову підготовку у сфері фармаконагляду та несе відповідальність за ефективне здійснення збору, оцінки та надання експертному органу достовірної інформації про побічні реакції/відсутність ефективності лікарського засобу, а також будь-яких інших даних, необхідних для оцінки ризику і користі під час медичного застосування препарату.</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В Україні, як і в ЄС, до складу всіх реєстраційних (перереєстраційних) документів входить короткий опис системи фармаконагляду та дані про особу, відповідальну за його здійснення.</w:t>
      </w:r>
    </w:p>
    <w:p w:rsidR="0032124B" w:rsidRPr="0032124B" w:rsidRDefault="0032124B" w:rsidP="0032124B">
      <w:pPr>
        <w:spacing w:after="0" w:line="360" w:lineRule="auto"/>
        <w:jc w:val="both"/>
        <w:rPr>
          <w:rFonts w:ascii="Times New Roman" w:hAnsi="Times New Roman" w:cs="Times New Roman"/>
          <w:sz w:val="24"/>
          <w:szCs w:val="24"/>
          <w:lang w:val="uk-UA"/>
        </w:rPr>
      </w:pPr>
      <w:r w:rsidRPr="0032124B">
        <w:rPr>
          <w:rFonts w:ascii="Times New Roman" w:hAnsi="Times New Roman" w:cs="Times New Roman"/>
          <w:sz w:val="24"/>
          <w:szCs w:val="24"/>
          <w:lang w:val="uk-UA"/>
        </w:rPr>
        <w:t>Міжнародно-правові акти, які використовуються для гармонізації правового поля системи фармаконагляду в Україні:</w:t>
      </w:r>
    </w:p>
    <w:p w:rsidR="0032124B" w:rsidRPr="0032124B" w:rsidRDefault="0032124B" w:rsidP="008512F9">
      <w:pPr>
        <w:pStyle w:val="a8"/>
        <w:numPr>
          <w:ilvl w:val="0"/>
          <w:numId w:val="24"/>
        </w:numPr>
        <w:spacing w:line="360" w:lineRule="auto"/>
        <w:jc w:val="both"/>
        <w:rPr>
          <w:lang w:val="uk-UA"/>
        </w:rPr>
      </w:pPr>
      <w:r w:rsidRPr="0032124B">
        <w:rPr>
          <w:lang w:val="uk-UA"/>
        </w:rPr>
        <w:t>Директива 2001/83 / ЄС від 06.11.2001 «Про зведенні закони Співтовариства щодо лікарських препаратів для людини»</w:t>
      </w:r>
    </w:p>
    <w:p w:rsidR="0032124B" w:rsidRPr="0032124B" w:rsidRDefault="0032124B" w:rsidP="008512F9">
      <w:pPr>
        <w:pStyle w:val="a8"/>
        <w:numPr>
          <w:ilvl w:val="0"/>
          <w:numId w:val="24"/>
        </w:numPr>
        <w:spacing w:line="360" w:lineRule="auto"/>
        <w:jc w:val="both"/>
        <w:rPr>
          <w:lang w:val="uk-UA"/>
        </w:rPr>
      </w:pPr>
      <w:r w:rsidRPr="0032124B">
        <w:rPr>
          <w:lang w:val="uk-UA"/>
        </w:rPr>
        <w:t xml:space="preserve">Постанова Ради ЄС від 22.07.93 №2309 / 93 з питань фармаконагляду </w:t>
      </w:r>
    </w:p>
    <w:p w:rsidR="0032124B" w:rsidRPr="0032124B" w:rsidRDefault="0032124B" w:rsidP="008512F9">
      <w:pPr>
        <w:pStyle w:val="a8"/>
        <w:numPr>
          <w:ilvl w:val="0"/>
          <w:numId w:val="24"/>
        </w:numPr>
        <w:spacing w:line="360" w:lineRule="auto"/>
        <w:jc w:val="both"/>
        <w:rPr>
          <w:lang w:val="uk-UA"/>
        </w:rPr>
      </w:pPr>
      <w:r w:rsidRPr="0032124B">
        <w:rPr>
          <w:lang w:val="uk-UA"/>
        </w:rPr>
        <w:t>«Фармаконагляд. Правила ЄС щодо фармаконагляду за лікарськими препаратами для людини і для застосування у ветеринарії »(</w:t>
      </w:r>
      <w:r w:rsidRPr="0032124B">
        <w:t>THE</w:t>
      </w:r>
      <w:r w:rsidRPr="0032124B">
        <w:rPr>
          <w:lang w:val="uk-UA"/>
        </w:rPr>
        <w:t xml:space="preserve"> </w:t>
      </w:r>
      <w:r w:rsidRPr="0032124B">
        <w:t>RULES</w:t>
      </w:r>
      <w:r w:rsidRPr="0032124B">
        <w:rPr>
          <w:lang w:val="uk-UA"/>
        </w:rPr>
        <w:t xml:space="preserve"> </w:t>
      </w:r>
      <w:r w:rsidRPr="0032124B">
        <w:t>GOVERNING</w:t>
      </w:r>
      <w:r w:rsidRPr="0032124B">
        <w:rPr>
          <w:lang w:val="uk-UA"/>
        </w:rPr>
        <w:t xml:space="preserve"> </w:t>
      </w:r>
      <w:r w:rsidRPr="0032124B">
        <w:t>MEDICINAL</w:t>
      </w:r>
      <w:r w:rsidRPr="0032124B">
        <w:rPr>
          <w:lang w:val="uk-UA"/>
        </w:rPr>
        <w:t xml:space="preserve"> </w:t>
      </w:r>
      <w:r w:rsidRPr="0032124B">
        <w:t>PRODUCTS</w:t>
      </w:r>
      <w:r w:rsidRPr="0032124B">
        <w:rPr>
          <w:lang w:val="uk-UA"/>
        </w:rPr>
        <w:t xml:space="preserve"> </w:t>
      </w:r>
      <w:r w:rsidRPr="0032124B">
        <w:t>IN</w:t>
      </w:r>
      <w:r w:rsidRPr="0032124B">
        <w:rPr>
          <w:lang w:val="uk-UA"/>
        </w:rPr>
        <w:t xml:space="preserve"> </w:t>
      </w:r>
      <w:r w:rsidRPr="0032124B">
        <w:t>THE</w:t>
      </w:r>
      <w:r w:rsidRPr="0032124B">
        <w:rPr>
          <w:lang w:val="uk-UA"/>
        </w:rPr>
        <w:t xml:space="preserve"> </w:t>
      </w:r>
      <w:r w:rsidRPr="0032124B">
        <w:t>EUROPEAN</w:t>
      </w:r>
      <w:r w:rsidRPr="0032124B">
        <w:rPr>
          <w:lang w:val="uk-UA"/>
        </w:rPr>
        <w:t xml:space="preserve"> </w:t>
      </w:r>
      <w:r w:rsidRPr="0032124B">
        <w:t>UNION</w:t>
      </w:r>
      <w:r w:rsidRPr="0032124B">
        <w:rPr>
          <w:lang w:val="uk-UA"/>
        </w:rPr>
        <w:t xml:space="preserve">, </w:t>
      </w:r>
      <w:r w:rsidRPr="0032124B">
        <w:t>VOLUME</w:t>
      </w:r>
      <w:r w:rsidRPr="0032124B">
        <w:rPr>
          <w:lang w:val="uk-UA"/>
        </w:rPr>
        <w:t xml:space="preserve"> 9 - </w:t>
      </w:r>
      <w:r w:rsidRPr="0032124B">
        <w:t>Pharmacovigilance</w:t>
      </w:r>
      <w:r w:rsidRPr="0032124B">
        <w:rPr>
          <w:lang w:val="uk-UA"/>
        </w:rPr>
        <w:t xml:space="preserve"> </w:t>
      </w:r>
      <w:r w:rsidRPr="0032124B">
        <w:t>Medicinal</w:t>
      </w:r>
      <w:r w:rsidRPr="0032124B">
        <w:rPr>
          <w:lang w:val="uk-UA"/>
        </w:rPr>
        <w:t xml:space="preserve"> </w:t>
      </w:r>
      <w:r w:rsidRPr="0032124B">
        <w:t>Products</w:t>
      </w:r>
      <w:r w:rsidRPr="0032124B">
        <w:rPr>
          <w:lang w:val="uk-UA"/>
        </w:rPr>
        <w:t xml:space="preserve"> </w:t>
      </w:r>
      <w:r w:rsidRPr="0032124B">
        <w:t>for</w:t>
      </w:r>
      <w:r w:rsidRPr="0032124B">
        <w:rPr>
          <w:lang w:val="uk-UA"/>
        </w:rPr>
        <w:t xml:space="preserve"> </w:t>
      </w:r>
      <w:r w:rsidRPr="0032124B">
        <w:t>Human</w:t>
      </w:r>
      <w:r w:rsidRPr="0032124B">
        <w:rPr>
          <w:lang w:val="uk-UA"/>
        </w:rPr>
        <w:t xml:space="preserve"> </w:t>
      </w:r>
      <w:r w:rsidRPr="0032124B">
        <w:t>and</w:t>
      </w:r>
      <w:r w:rsidRPr="0032124B">
        <w:rPr>
          <w:lang w:val="uk-UA"/>
        </w:rPr>
        <w:t xml:space="preserve"> </w:t>
      </w:r>
      <w:r w:rsidRPr="0032124B">
        <w:t>Veterinary</w:t>
      </w:r>
      <w:r w:rsidRPr="0032124B">
        <w:rPr>
          <w:lang w:val="uk-UA"/>
        </w:rPr>
        <w:t xml:space="preserve"> </w:t>
      </w:r>
      <w:r w:rsidRPr="0032124B">
        <w:t>use</w:t>
      </w:r>
      <w:r w:rsidRPr="0032124B">
        <w:rPr>
          <w:lang w:val="uk-UA"/>
        </w:rPr>
        <w:t xml:space="preserve">), розробленого в рамках процесу </w:t>
      </w:r>
      <w:r w:rsidRPr="0032124B">
        <w:t>ICH</w:t>
      </w:r>
      <w:r w:rsidRPr="0032124B">
        <w:rPr>
          <w:lang w:val="uk-UA"/>
        </w:rPr>
        <w:t xml:space="preserve"> і прийнятого в ЄС)</w:t>
      </w:r>
    </w:p>
    <w:p w:rsidR="0032124B" w:rsidRPr="0032124B" w:rsidRDefault="0032124B" w:rsidP="0032124B">
      <w:pPr>
        <w:pStyle w:val="a7"/>
        <w:shd w:val="clear" w:color="auto" w:fill="FFFFFF"/>
        <w:spacing w:before="0" w:beforeAutospacing="0"/>
        <w:jc w:val="both"/>
        <w:rPr>
          <w:color w:val="212529"/>
          <w:spacing w:val="5"/>
          <w:lang w:val="uk-UA"/>
        </w:rPr>
      </w:pPr>
      <w:r w:rsidRPr="0032124B">
        <w:rPr>
          <w:color w:val="212529"/>
          <w:spacing w:val="5"/>
          <w:lang w:val="uk-UA"/>
        </w:rPr>
        <w:t>В Україні фармаконагляд врегульовано Законом України «Про лікарські засоби» 1996</w:t>
      </w:r>
      <w:r w:rsidRPr="0032124B">
        <w:rPr>
          <w:color w:val="212529"/>
          <w:spacing w:val="5"/>
        </w:rPr>
        <w:t> </w:t>
      </w:r>
      <w:r w:rsidRPr="0032124B">
        <w:rPr>
          <w:color w:val="212529"/>
          <w:spacing w:val="5"/>
          <w:lang w:val="uk-UA"/>
        </w:rPr>
        <w:t>р., зі змінами і доповненнями 1998</w:t>
      </w:r>
      <w:r w:rsidRPr="0032124B">
        <w:rPr>
          <w:color w:val="212529"/>
          <w:spacing w:val="5"/>
        </w:rPr>
        <w:t> </w:t>
      </w:r>
      <w:r w:rsidRPr="0032124B">
        <w:rPr>
          <w:color w:val="212529"/>
          <w:spacing w:val="5"/>
          <w:lang w:val="uk-UA"/>
        </w:rPr>
        <w:t>р., та низкою наказів МОЗ України:</w:t>
      </w:r>
    </w:p>
    <w:p w:rsidR="0032124B" w:rsidRPr="0032124B" w:rsidRDefault="0032124B" w:rsidP="008512F9">
      <w:pPr>
        <w:numPr>
          <w:ilvl w:val="0"/>
          <w:numId w:val="24"/>
        </w:numPr>
        <w:shd w:val="clear" w:color="auto" w:fill="FFFFFF"/>
        <w:spacing w:before="100" w:beforeAutospacing="1" w:after="100" w:afterAutospacing="1" w:line="240" w:lineRule="auto"/>
        <w:jc w:val="both"/>
        <w:rPr>
          <w:rFonts w:ascii="Times New Roman" w:hAnsi="Times New Roman" w:cs="Times New Roman"/>
          <w:color w:val="212529"/>
          <w:spacing w:val="5"/>
          <w:sz w:val="24"/>
          <w:szCs w:val="24"/>
          <w:lang w:val="uk-UA"/>
        </w:rPr>
      </w:pPr>
      <w:r w:rsidRPr="0032124B">
        <w:rPr>
          <w:rFonts w:ascii="Times New Roman" w:hAnsi="Times New Roman" w:cs="Times New Roman"/>
          <w:color w:val="212529"/>
          <w:spacing w:val="5"/>
          <w:sz w:val="24"/>
          <w:szCs w:val="24"/>
          <w:lang w:val="uk-UA"/>
        </w:rPr>
        <w:t>наказ МОЗ України від 27.12.2006 №</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898 «Про затвердження Порядку здійснення фармаконагляду за побічними реакціями лікарських засобів, дозволених для медичного застосування» зі змінами і доповненнями, внесеними наказом МОЗ України від 29.12.2011 №</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1005 (далі – наказ №898);</w:t>
      </w:r>
    </w:p>
    <w:p w:rsidR="0032124B" w:rsidRPr="0032124B" w:rsidRDefault="0032124B" w:rsidP="008512F9">
      <w:pPr>
        <w:numPr>
          <w:ilvl w:val="0"/>
          <w:numId w:val="24"/>
        </w:numPr>
        <w:shd w:val="clear" w:color="auto" w:fill="FFFFFF"/>
        <w:spacing w:before="100" w:beforeAutospacing="1" w:after="100" w:afterAutospacing="1" w:line="240" w:lineRule="auto"/>
        <w:jc w:val="both"/>
        <w:rPr>
          <w:rFonts w:ascii="Times New Roman" w:hAnsi="Times New Roman" w:cs="Times New Roman"/>
          <w:color w:val="212529"/>
          <w:spacing w:val="5"/>
          <w:sz w:val="24"/>
          <w:szCs w:val="24"/>
          <w:lang w:val="uk-UA"/>
        </w:rPr>
      </w:pPr>
      <w:r w:rsidRPr="0032124B">
        <w:rPr>
          <w:rFonts w:ascii="Times New Roman" w:hAnsi="Times New Roman" w:cs="Times New Roman"/>
          <w:color w:val="212529"/>
          <w:spacing w:val="5"/>
          <w:sz w:val="24"/>
          <w:szCs w:val="24"/>
          <w:lang w:val="uk-UA"/>
        </w:rPr>
        <w:t>наказ МОЗ України від 24.07.2009</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531 «Про затвердження Порядку здійснення моніторингу безпеки і ефективностілікарських засобів в стаціонарах закладів охорони здоров’я»;</w:t>
      </w:r>
    </w:p>
    <w:p w:rsidR="0032124B" w:rsidRPr="0032124B" w:rsidRDefault="0032124B" w:rsidP="008512F9">
      <w:pPr>
        <w:numPr>
          <w:ilvl w:val="0"/>
          <w:numId w:val="24"/>
        </w:numPr>
        <w:shd w:val="clear" w:color="auto" w:fill="FFFFFF"/>
        <w:spacing w:before="100" w:beforeAutospacing="1" w:after="100" w:afterAutospacing="1" w:line="240" w:lineRule="auto"/>
        <w:jc w:val="both"/>
        <w:rPr>
          <w:rFonts w:ascii="Times New Roman" w:hAnsi="Times New Roman" w:cs="Times New Roman"/>
          <w:color w:val="212529"/>
          <w:spacing w:val="5"/>
          <w:sz w:val="24"/>
          <w:szCs w:val="24"/>
          <w:lang w:val="uk-UA"/>
        </w:rPr>
      </w:pPr>
      <w:r w:rsidRPr="0032124B">
        <w:rPr>
          <w:rFonts w:ascii="Times New Roman" w:hAnsi="Times New Roman" w:cs="Times New Roman"/>
          <w:color w:val="212529"/>
          <w:spacing w:val="5"/>
          <w:sz w:val="24"/>
          <w:szCs w:val="24"/>
          <w:lang w:val="uk-UA"/>
        </w:rPr>
        <w:t>наказ МОЗ України від 01.09.2009</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w:t>
      </w:r>
      <w:r w:rsidRPr="0032124B">
        <w:rPr>
          <w:rFonts w:ascii="Times New Roman" w:hAnsi="Times New Roman" w:cs="Times New Roman"/>
          <w:color w:val="212529"/>
          <w:spacing w:val="5"/>
          <w:sz w:val="24"/>
          <w:szCs w:val="24"/>
        </w:rPr>
        <w:t> </w:t>
      </w:r>
      <w:r w:rsidRPr="0032124B">
        <w:rPr>
          <w:rFonts w:ascii="Times New Roman" w:hAnsi="Times New Roman" w:cs="Times New Roman"/>
          <w:color w:val="212529"/>
          <w:spacing w:val="5"/>
          <w:sz w:val="24"/>
          <w:szCs w:val="24"/>
          <w:lang w:val="uk-UA"/>
        </w:rPr>
        <w:t>654 «Про затвердження Плану заходів покращання здійснення післяреєстраційного нагляду за безпекою і ефективністю лікарських засобів і моніторингу безпеки і ефективності лікарських засобів у стаціонарах закладів охорони здоров’я»;</w:t>
      </w:r>
    </w:p>
    <w:p w:rsidR="0032124B" w:rsidRPr="0032124B" w:rsidRDefault="0032124B" w:rsidP="008512F9">
      <w:pPr>
        <w:numPr>
          <w:ilvl w:val="0"/>
          <w:numId w:val="24"/>
        </w:numPr>
        <w:shd w:val="clear" w:color="auto" w:fill="FFFFFF"/>
        <w:spacing w:before="100" w:beforeAutospacing="1" w:after="100" w:afterAutospacing="1" w:line="240" w:lineRule="auto"/>
        <w:jc w:val="both"/>
        <w:rPr>
          <w:rFonts w:ascii="Times New Roman" w:hAnsi="Times New Roman" w:cs="Times New Roman"/>
          <w:color w:val="212529"/>
          <w:spacing w:val="5"/>
          <w:sz w:val="24"/>
          <w:szCs w:val="24"/>
        </w:rPr>
      </w:pPr>
      <w:r w:rsidRPr="0032124B">
        <w:rPr>
          <w:rFonts w:ascii="Times New Roman" w:hAnsi="Times New Roman" w:cs="Times New Roman"/>
          <w:color w:val="212529"/>
          <w:spacing w:val="5"/>
          <w:sz w:val="24"/>
          <w:szCs w:val="24"/>
        </w:rPr>
        <w:t>наказ МОЗ України від 31.08.2010 № 736 «Про заходи щодо впровадження моніторингу безпеки та ефективності лікарських засобів у стаціонарах закладів охорони здоров’я».</w:t>
      </w:r>
    </w:p>
    <w:p w:rsidR="0032124B" w:rsidRPr="0032124B" w:rsidRDefault="0032124B" w:rsidP="008512F9">
      <w:pPr>
        <w:pStyle w:val="a8"/>
        <w:numPr>
          <w:ilvl w:val="0"/>
          <w:numId w:val="24"/>
        </w:numPr>
        <w:spacing w:line="360" w:lineRule="auto"/>
        <w:jc w:val="both"/>
        <w:rPr>
          <w:rStyle w:val="rvts15"/>
          <w:lang w:val="uk-UA"/>
        </w:rPr>
      </w:pPr>
      <w:r w:rsidRPr="0032124B">
        <w:rPr>
          <w:rStyle w:val="rvts15"/>
          <w:bCs/>
          <w:color w:val="333333"/>
          <w:shd w:val="clear" w:color="auto" w:fill="FFFFFF"/>
        </w:rPr>
        <w:t>НАСТАНОВА</w:t>
      </w:r>
      <w:r w:rsidRPr="0032124B">
        <w:rPr>
          <w:rStyle w:val="rvts15"/>
          <w:bCs/>
          <w:color w:val="333333"/>
          <w:shd w:val="clear" w:color="auto" w:fill="FFFFFF"/>
          <w:lang w:val="uk-UA"/>
        </w:rPr>
        <w:t xml:space="preserve"> </w:t>
      </w:r>
      <w:r w:rsidRPr="0032124B">
        <w:rPr>
          <w:rStyle w:val="rvts15"/>
          <w:bCs/>
          <w:color w:val="333333"/>
          <w:shd w:val="clear" w:color="auto" w:fill="FFFFFF"/>
        </w:rPr>
        <w:t>ЛІКАРСЬКІ</w:t>
      </w:r>
      <w:r w:rsidRPr="0032124B">
        <w:rPr>
          <w:rStyle w:val="rvts15"/>
          <w:bCs/>
          <w:color w:val="333333"/>
          <w:shd w:val="clear" w:color="auto" w:fill="FFFFFF"/>
          <w:lang w:val="uk-UA"/>
        </w:rPr>
        <w:t xml:space="preserve"> </w:t>
      </w:r>
      <w:r w:rsidRPr="0032124B">
        <w:rPr>
          <w:rStyle w:val="rvts15"/>
          <w:bCs/>
          <w:color w:val="333333"/>
          <w:shd w:val="clear" w:color="auto" w:fill="FFFFFF"/>
        </w:rPr>
        <w:t>ЗАСОБИ</w:t>
      </w:r>
      <w:r w:rsidRPr="0032124B">
        <w:rPr>
          <w:rStyle w:val="rvts15"/>
          <w:bCs/>
          <w:color w:val="333333"/>
          <w:shd w:val="clear" w:color="auto" w:fill="FFFFFF"/>
          <w:lang w:val="uk-UA"/>
        </w:rPr>
        <w:t xml:space="preserve"> </w:t>
      </w:r>
      <w:r w:rsidRPr="0032124B">
        <w:rPr>
          <w:rStyle w:val="rvts15"/>
          <w:bCs/>
          <w:color w:val="333333"/>
          <w:shd w:val="clear" w:color="auto" w:fill="FFFFFF"/>
        </w:rPr>
        <w:t>НАЛЕЖНІ ПРАКТИКИ ФАРМАКОНАГЛЯДУ</w:t>
      </w:r>
      <w:r w:rsidRPr="0032124B">
        <w:rPr>
          <w:rStyle w:val="rvts15"/>
          <w:bCs/>
          <w:color w:val="333333"/>
          <w:shd w:val="clear" w:color="auto" w:fill="FFFFFF"/>
          <w:lang w:val="uk-UA"/>
        </w:rPr>
        <w:t xml:space="preserve"> </w:t>
      </w:r>
      <w:r w:rsidRPr="0032124B">
        <w:rPr>
          <w:rStyle w:val="rvts15"/>
          <w:bCs/>
          <w:color w:val="333333"/>
          <w:shd w:val="clear" w:color="auto" w:fill="FFFFFF"/>
        </w:rPr>
        <w:t>СТ-Н МОЗУ 42-8.5:2015</w:t>
      </w:r>
    </w:p>
    <w:p w:rsidR="0032124B" w:rsidRPr="0032124B" w:rsidRDefault="0032124B" w:rsidP="0032124B">
      <w:pPr>
        <w:pStyle w:val="a7"/>
        <w:jc w:val="both"/>
        <w:rPr>
          <w:color w:val="000000"/>
          <w:lang w:val="uk-UA"/>
        </w:rPr>
      </w:pPr>
      <w:r w:rsidRPr="0032124B">
        <w:rPr>
          <w:color w:val="000000"/>
          <w:lang w:val="uk-UA"/>
        </w:rPr>
        <w:lastRenderedPageBreak/>
        <w:t xml:space="preserve">Здійснення нагляду за безпекою лікарських засобів при їх медичному застосуванні стало одним з основних напрямків у реалізації національної політики обігу лікарських засобів (ЛЗ) в переважній більшості країн світу. </w:t>
      </w:r>
      <w:r w:rsidRPr="0032124B">
        <w:rPr>
          <w:color w:val="000000"/>
        </w:rPr>
        <w:t>Міжнародний і національний регуляторний механізм нагляду за безпекою лікарських засобів отримав назву - фармаконагляд. Здійснення основної місії фармаконагляду - покращання лікування пацієнтів та їх безпеки при застосуванні ЛЗ - стає можливим лише за наявності вичерпної, достовірної, якісної та об'єктивної інформації щодо безпеки та ефективності застосування лікарських засобів, джерелами якої є, у першу чергу, власники реєстраційних посвідчень на лікарські засоби, а також - працівники з медичною та/або фармацевтичною освітою, пацієнти та/або їх представники, організації, що представляють чи захищають безпеку та права пацієнтів. У даному документі представлені підходи, які слід використовувати усім учасникам процесу фармаконагляду з метою успішної реалізації визначених законодавством вимог та повноважень у розрізі здійснення фармаконагляду.</w:t>
      </w:r>
    </w:p>
    <w:p w:rsidR="0032124B" w:rsidRPr="0032124B" w:rsidRDefault="0032124B" w:rsidP="0032124B">
      <w:pPr>
        <w:spacing w:before="100" w:beforeAutospacing="1" w:after="100" w:afterAutospacing="1" w:line="240" w:lineRule="auto"/>
        <w:jc w:val="both"/>
        <w:rPr>
          <w:rFonts w:ascii="Times New Roman" w:eastAsia="Times New Roman" w:hAnsi="Times New Roman" w:cs="Times New Roman"/>
          <w:color w:val="000000"/>
          <w:sz w:val="24"/>
          <w:szCs w:val="24"/>
          <w:lang w:val="uk-UA"/>
        </w:rPr>
      </w:pPr>
      <w:r w:rsidRPr="0032124B">
        <w:rPr>
          <w:rFonts w:ascii="Times New Roman" w:eastAsia="Times New Roman" w:hAnsi="Times New Roman" w:cs="Times New Roman"/>
          <w:color w:val="000000"/>
          <w:sz w:val="24"/>
          <w:szCs w:val="24"/>
          <w:lang w:val="uk-UA"/>
        </w:rPr>
        <w:t xml:space="preserve">Створення та впровадження в Україні настанови з належних практик фармаконагляду, зумовлена потребою усіх зацікавлених сторін (таких як заявники, власники реєстраційних посвідчень, розробники та виробники лікарських засобів, експертні та регуляторні органи) у наявності інструменту, який би дозволив належним чином здійснювати фармаконагляд. Положення вітчизняної настанови з належних практик фармаконагляду повинні бути гармонізовані з положеннями відповідної настанови ЄС, що відповідає абзацу другого пункту 1 розділу </w:t>
      </w:r>
      <w:r w:rsidRPr="0032124B">
        <w:rPr>
          <w:rFonts w:ascii="Times New Roman" w:eastAsia="Times New Roman" w:hAnsi="Times New Roman" w:cs="Times New Roman"/>
          <w:color w:val="000000"/>
          <w:sz w:val="24"/>
          <w:szCs w:val="24"/>
        </w:rPr>
        <w:t>II</w:t>
      </w:r>
      <w:r w:rsidRPr="0032124B">
        <w:rPr>
          <w:rFonts w:ascii="Times New Roman" w:eastAsia="Times New Roman" w:hAnsi="Times New Roman" w:cs="Times New Roman"/>
          <w:color w:val="000000"/>
          <w:sz w:val="24"/>
          <w:szCs w:val="24"/>
          <w:lang w:val="uk-UA"/>
        </w:rPr>
        <w:t xml:space="preserve"> Порядку здійснення фармаконагляду, затвердженого наказом МОЗ України від 27 грудня 2006 року № 898 (у редакції наказу МОЗ України від 26.09.2016 року № 996), зареєстрованого в Міністерстві юстиції України 19 грудня 2016 року за № 1649/29779 [2].</w:t>
      </w:r>
    </w:p>
    <w:p w:rsidR="0032124B" w:rsidRPr="00167693" w:rsidRDefault="0032124B" w:rsidP="0032124B">
      <w:pPr>
        <w:pStyle w:val="3"/>
        <w:shd w:val="clear" w:color="auto" w:fill="FFFFFF"/>
        <w:spacing w:before="0"/>
        <w:jc w:val="both"/>
        <w:rPr>
          <w:rFonts w:ascii="Times New Roman" w:hAnsi="Times New Roman" w:cs="Times New Roman"/>
          <w:color w:val="212529"/>
          <w:spacing w:val="5"/>
          <w:sz w:val="24"/>
          <w:szCs w:val="24"/>
        </w:rPr>
      </w:pPr>
      <w:r w:rsidRPr="00167693">
        <w:rPr>
          <w:rFonts w:ascii="Times New Roman" w:hAnsi="Times New Roman" w:cs="Times New Roman"/>
          <w:color w:val="212529"/>
          <w:spacing w:val="5"/>
          <w:sz w:val="24"/>
          <w:szCs w:val="24"/>
        </w:rPr>
        <w:t>СТРУКТУРА СИСТЕМИ ФАРМАКОНАГЛЯДУ В УКРАЇНІ І КОНЦЕПТУАЛЬНЕ ВІДОБРАЖЕННЯ ПРОЦЕСУ ЗДІЙСНЕННЯ ФАРМАКОНАГЛЯДУ</w:t>
      </w:r>
    </w:p>
    <w:p w:rsidR="0032124B" w:rsidRPr="0032124B" w:rsidRDefault="0032124B" w:rsidP="0032124B">
      <w:pPr>
        <w:pStyle w:val="a7"/>
        <w:shd w:val="clear" w:color="auto" w:fill="FFFFFF"/>
        <w:spacing w:before="0" w:beforeAutospacing="0"/>
        <w:jc w:val="both"/>
        <w:rPr>
          <w:color w:val="212529"/>
          <w:spacing w:val="5"/>
        </w:rPr>
      </w:pPr>
      <w:r w:rsidRPr="0032124B">
        <w:rPr>
          <w:color w:val="212529"/>
          <w:spacing w:val="5"/>
        </w:rPr>
        <w:t>Здійснення фармаконагляду має циклічний та безперервний характер. Усе починається з виявлення випадку ПР ЛЗ, що найчастіше може статися  у закладі охорони здоров’я (далі – ЗОЗ), включаючи аптечний заклад, або на дому, де відбувається лікування хворого. Після цього працівник з медичною або фармацевтичною освітою, пацієнт або його представник чи заявник повинен повідомити про цей випадок у відповідні терміни та у форматі, що встановлені законодавством країни. Інформація про випадки ПР ЛЗ надсилається у єдиному напрямку до установи, яка координує здійснення фармаконагляду в країні. Саме там відбувається накопичення такої інформації та її аналіз, включаючи виявлення ризиків, оцінку ризиків та перваг щодо застосування ЛЗ. Результати аналізу стають підґрунтям для прийняття відповідних регуляторних рішень, які повинні бути оприлюднені та доступні як медичній громадськості, так і пересічним громадянам (</w:t>
      </w:r>
      <w:r w:rsidRPr="0032124B">
        <w:rPr>
          <w:color w:val="212529"/>
          <w:spacing w:val="5"/>
          <w:lang w:val="uk-UA"/>
        </w:rPr>
        <w:t>малюнок</w:t>
      </w:r>
      <w:r w:rsidRPr="0032124B">
        <w:rPr>
          <w:color w:val="212529"/>
          <w:spacing w:val="5"/>
        </w:rPr>
        <w:t xml:space="preserve"> 1).</w:t>
      </w:r>
    </w:p>
    <w:p w:rsidR="0032124B" w:rsidRPr="0032124B" w:rsidRDefault="0032124B" w:rsidP="0032124B">
      <w:pPr>
        <w:pStyle w:val="a7"/>
        <w:shd w:val="clear" w:color="auto" w:fill="FFFFFF"/>
        <w:spacing w:before="0" w:beforeAutospacing="0"/>
        <w:jc w:val="both"/>
        <w:rPr>
          <w:color w:val="212529"/>
          <w:spacing w:val="5"/>
        </w:rPr>
      </w:pPr>
      <w:r w:rsidRPr="0032124B">
        <w:rPr>
          <w:noProof/>
          <w:color w:val="212529"/>
          <w:spacing w:val="5"/>
          <w:lang w:val="uk-UA" w:eastAsia="uk-UA"/>
        </w:rPr>
        <w:lastRenderedPageBreak/>
        <w:drawing>
          <wp:inline distT="0" distB="0" distL="0" distR="0" wp14:anchorId="608309BA" wp14:editId="1E190036">
            <wp:extent cx="4695825" cy="3028950"/>
            <wp:effectExtent l="0" t="0" r="9525" b="0"/>
            <wp:docPr id="4" name="Рисунок 4" descr="https://dec.gov.ua/wp-content/uploads/2019/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c.gov.ua/wp-content/uploads/2019/09/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95825" cy="3028950"/>
                    </a:xfrm>
                    <a:prstGeom prst="rect">
                      <a:avLst/>
                    </a:prstGeom>
                    <a:noFill/>
                    <a:ln>
                      <a:noFill/>
                    </a:ln>
                  </pic:spPr>
                </pic:pic>
              </a:graphicData>
            </a:graphic>
          </wp:inline>
        </w:drawing>
      </w:r>
    </w:p>
    <w:p w:rsidR="0032124B" w:rsidRPr="0032124B" w:rsidRDefault="0032124B" w:rsidP="0032124B">
      <w:pPr>
        <w:pStyle w:val="a7"/>
        <w:shd w:val="clear" w:color="auto" w:fill="FFFFFF"/>
        <w:spacing w:before="0" w:beforeAutospacing="0"/>
        <w:jc w:val="both"/>
        <w:rPr>
          <w:color w:val="212529"/>
          <w:spacing w:val="5"/>
        </w:rPr>
      </w:pPr>
      <w:r w:rsidRPr="0032124B">
        <w:rPr>
          <w:rStyle w:val="ab"/>
          <w:color w:val="212529"/>
          <w:spacing w:val="5"/>
        </w:rPr>
        <w:t xml:space="preserve"> Цикл здійснення фармаконагляду</w:t>
      </w:r>
    </w:p>
    <w:p w:rsidR="0032124B" w:rsidRPr="0032124B" w:rsidRDefault="0032124B" w:rsidP="0032124B">
      <w:pPr>
        <w:pStyle w:val="a7"/>
        <w:shd w:val="clear" w:color="auto" w:fill="FFFFFF"/>
        <w:spacing w:before="0" w:beforeAutospacing="0"/>
        <w:jc w:val="both"/>
        <w:rPr>
          <w:color w:val="212529"/>
          <w:spacing w:val="5"/>
        </w:rPr>
      </w:pPr>
      <w:r w:rsidRPr="0032124B">
        <w:rPr>
          <w:color w:val="212529"/>
          <w:spacing w:val="5"/>
        </w:rPr>
        <w:t>Здійснення фармаконагляду є законодавчо врегульованим, як і весь процес обігу ЛЗ.</w:t>
      </w:r>
    </w:p>
    <w:p w:rsidR="0032124B" w:rsidRPr="0032124B" w:rsidRDefault="0032124B" w:rsidP="0032124B">
      <w:pPr>
        <w:pStyle w:val="a7"/>
        <w:shd w:val="clear" w:color="auto" w:fill="FFFFFF"/>
        <w:spacing w:before="0" w:beforeAutospacing="0"/>
        <w:jc w:val="both"/>
        <w:rPr>
          <w:color w:val="212529"/>
          <w:spacing w:val="5"/>
        </w:rPr>
      </w:pPr>
      <w:r w:rsidRPr="0032124B">
        <w:rPr>
          <w:color w:val="212529"/>
          <w:spacing w:val="5"/>
        </w:rPr>
        <w:t xml:space="preserve">Державна система фармаконагляду представлена центральною ланкою – Департаментом післяреєстраційного нагляду (далі – Департамент), що є структурною одиницею  Центру. Регіональною мережею  регіональних відділень (n=25), які діють в усіх областях України та місті Києві. На локальному рівні система фармаконагляду представлена відповідальними за здійснення фармаконагляду у закладах охорони здоров’я (ЗОЗ), переважно – заступники головних лікарів, або завідувачі відділень. Законодавством України передбачено взаємозв’язок між усіма структурами, дотичними до процесу обігу ЛЗ з питань їх безпеки. Функціонально-організаційна модель системи фармаконагялду України представлена на </w:t>
      </w:r>
      <w:r w:rsidRPr="0032124B">
        <w:rPr>
          <w:color w:val="212529"/>
          <w:spacing w:val="5"/>
          <w:lang w:val="uk-UA"/>
        </w:rPr>
        <w:t>малю</w:t>
      </w:r>
      <w:r w:rsidRPr="0032124B">
        <w:rPr>
          <w:color w:val="212529"/>
          <w:spacing w:val="5"/>
        </w:rPr>
        <w:t xml:space="preserve">нку </w:t>
      </w:r>
    </w:p>
    <w:p w:rsidR="0032124B" w:rsidRPr="0032124B" w:rsidRDefault="0032124B" w:rsidP="0032124B">
      <w:pPr>
        <w:pStyle w:val="a7"/>
        <w:shd w:val="clear" w:color="auto" w:fill="FFFFFF"/>
        <w:spacing w:before="0" w:beforeAutospacing="0"/>
        <w:jc w:val="both"/>
        <w:rPr>
          <w:color w:val="212529"/>
          <w:spacing w:val="5"/>
        </w:rPr>
      </w:pPr>
      <w:r w:rsidRPr="0032124B">
        <w:rPr>
          <w:noProof/>
          <w:color w:val="212529"/>
          <w:spacing w:val="5"/>
          <w:lang w:val="uk-UA" w:eastAsia="uk-UA"/>
        </w:rPr>
        <w:lastRenderedPageBreak/>
        <w:drawing>
          <wp:inline distT="0" distB="0" distL="0" distR="0" wp14:anchorId="4029D0B6" wp14:editId="1F38BFB2">
            <wp:extent cx="5686425" cy="4162425"/>
            <wp:effectExtent l="0" t="0" r="9525" b="9525"/>
            <wp:docPr id="16" name="Рисунок 16" descr="https://dec.gov.ua/wp-content/uploads/2019/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ec.gov.ua/wp-content/uploads/2019/09/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86425" cy="4162425"/>
                    </a:xfrm>
                    <a:prstGeom prst="rect">
                      <a:avLst/>
                    </a:prstGeom>
                    <a:noFill/>
                    <a:ln>
                      <a:noFill/>
                    </a:ln>
                  </pic:spPr>
                </pic:pic>
              </a:graphicData>
            </a:graphic>
          </wp:inline>
        </w:drawing>
      </w:r>
    </w:p>
    <w:p w:rsidR="0032124B" w:rsidRPr="0032124B" w:rsidRDefault="0032124B" w:rsidP="0032124B">
      <w:pPr>
        <w:pStyle w:val="a7"/>
        <w:shd w:val="clear" w:color="auto" w:fill="FFFFFF"/>
        <w:spacing w:before="0" w:beforeAutospacing="0"/>
        <w:jc w:val="both"/>
        <w:rPr>
          <w:color w:val="212529"/>
          <w:spacing w:val="5"/>
        </w:rPr>
      </w:pPr>
      <w:r w:rsidRPr="0032124B">
        <w:rPr>
          <w:rStyle w:val="ab"/>
          <w:color w:val="212529"/>
          <w:spacing w:val="5"/>
        </w:rPr>
        <w:t>Функціонально-організаційна модель системи фармаконагляду України</w:t>
      </w:r>
    </w:p>
    <w:p w:rsidR="0032124B" w:rsidRPr="0032124B" w:rsidRDefault="0032124B" w:rsidP="0032124B">
      <w:pPr>
        <w:jc w:val="both"/>
        <w:rPr>
          <w:rFonts w:ascii="Times New Roman" w:hAnsi="Times New Roman" w:cs="Times New Roman"/>
          <w:sz w:val="24"/>
          <w:szCs w:val="24"/>
          <w:lang w:val="uk-UA"/>
        </w:rPr>
      </w:pPr>
      <w:r w:rsidRPr="0032124B">
        <w:rPr>
          <w:rFonts w:ascii="Times New Roman" w:hAnsi="Times New Roman" w:cs="Times New Roman"/>
          <w:b/>
          <w:sz w:val="24"/>
          <w:szCs w:val="24"/>
          <w:lang w:val="uk-UA"/>
        </w:rPr>
        <w:t>Структура, м</w:t>
      </w:r>
      <w:r w:rsidRPr="0032124B">
        <w:rPr>
          <w:rFonts w:ascii="Times New Roman" w:hAnsi="Times New Roman" w:cs="Times New Roman"/>
          <w:b/>
          <w:sz w:val="24"/>
          <w:szCs w:val="24"/>
        </w:rPr>
        <w:t>ожливості і завдання системи фармаконагляду в Україні</w:t>
      </w:r>
      <w:r w:rsidRPr="0032124B">
        <w:rPr>
          <w:rFonts w:ascii="Times New Roman" w:hAnsi="Times New Roman" w:cs="Times New Roman"/>
          <w:sz w:val="24"/>
          <w:szCs w:val="24"/>
        </w:rPr>
        <w:t xml:space="preserve"> </w:t>
      </w:r>
    </w:p>
    <w:p w:rsidR="0032124B" w:rsidRPr="0032124B" w:rsidRDefault="0032124B" w:rsidP="0032124B">
      <w:pPr>
        <w:shd w:val="clear" w:color="auto" w:fill="FFFFFF"/>
        <w:spacing w:after="100" w:afterAutospacing="1" w:line="240" w:lineRule="auto"/>
        <w:jc w:val="both"/>
        <w:rPr>
          <w:rFonts w:ascii="Times New Roman" w:eastAsia="Times New Roman" w:hAnsi="Times New Roman" w:cs="Times New Roman"/>
          <w:color w:val="212529"/>
          <w:spacing w:val="5"/>
          <w:sz w:val="24"/>
          <w:szCs w:val="24"/>
        </w:rPr>
      </w:pPr>
      <w:r w:rsidRPr="0032124B">
        <w:rPr>
          <w:rFonts w:ascii="Times New Roman" w:eastAsia="Times New Roman" w:hAnsi="Times New Roman" w:cs="Times New Roman"/>
          <w:bCs/>
          <w:color w:val="212529"/>
          <w:spacing w:val="5"/>
          <w:sz w:val="24"/>
          <w:szCs w:val="24"/>
        </w:rPr>
        <w:t>Головними напрямками реалізації системи фармаконагляду на світовому та державному рівнях є:</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впровадження в практику охорони здоров’я (ОЗ) системи нагляду за безпекою ліків;</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розробка сучасної методології з питань організації нагляду за безпекою ЛЗ;</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розробка та впровадження сучасної методології з питань вивчення ПР</w:t>
      </w:r>
      <w:r w:rsidRPr="0032124B">
        <w:rPr>
          <w:color w:val="212529"/>
          <w:spacing w:val="5"/>
          <w:lang w:val="uk-UA"/>
        </w:rPr>
        <w:t xml:space="preserve"> </w:t>
      </w:r>
      <w:r w:rsidRPr="0032124B">
        <w:rPr>
          <w:color w:val="212529"/>
          <w:spacing w:val="5"/>
        </w:rPr>
        <w:t>ЛЗ;</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lang w:val="uk-UA"/>
        </w:rPr>
        <w:t>у</w:t>
      </w:r>
      <w:r w:rsidRPr="0032124B">
        <w:rPr>
          <w:color w:val="212529"/>
          <w:spacing w:val="5"/>
        </w:rPr>
        <w:t>часть у розробці та впровадженні регламентуючих документів з організації та здійснення нагляду за ПР ЛЗ;</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здійснення консультативно-методичної та просвітницької діяльності в галузі нагляду за безпекою ЛЗ серед медичної громадськості та населення;</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проведення постійного аналізу та узагальнення інформації про ПР ЛЗ з метою надання обґрунтованих рекомендацій для проведення безпечної фармакотерапії і фармакопрофілактики у хворих та прийняття відповідних регуляторних рішень;</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обмін інформацією між усіма зацікавленими сторонами про ПР ЛЗ;</w:t>
      </w:r>
    </w:p>
    <w:p w:rsidR="0032124B" w:rsidRPr="0032124B" w:rsidRDefault="0032124B" w:rsidP="008512F9">
      <w:pPr>
        <w:pStyle w:val="a8"/>
        <w:numPr>
          <w:ilvl w:val="0"/>
          <w:numId w:val="28"/>
        </w:numPr>
        <w:shd w:val="clear" w:color="auto" w:fill="FFFFFF"/>
        <w:spacing w:before="100" w:beforeAutospacing="1" w:after="100" w:afterAutospacing="1"/>
        <w:jc w:val="both"/>
        <w:rPr>
          <w:color w:val="212529"/>
          <w:spacing w:val="5"/>
        </w:rPr>
      </w:pPr>
      <w:r w:rsidRPr="0032124B">
        <w:rPr>
          <w:color w:val="212529"/>
          <w:spacing w:val="5"/>
        </w:rPr>
        <w:t>декларування політики прозорості з питань безпеки ЛЗ</w:t>
      </w:r>
      <w:r w:rsidRPr="0032124B">
        <w:rPr>
          <w:color w:val="212529"/>
          <w:spacing w:val="5"/>
          <w:lang w:val="uk-UA"/>
        </w:rPr>
        <w:t>;</w:t>
      </w:r>
    </w:p>
    <w:p w:rsidR="0032124B" w:rsidRPr="0032124B" w:rsidRDefault="0032124B" w:rsidP="008512F9">
      <w:pPr>
        <w:pStyle w:val="a8"/>
        <w:numPr>
          <w:ilvl w:val="0"/>
          <w:numId w:val="28"/>
        </w:numPr>
        <w:spacing w:after="200" w:line="276" w:lineRule="auto"/>
        <w:jc w:val="both"/>
        <w:rPr>
          <w:lang w:val="uk-UA"/>
        </w:rPr>
      </w:pPr>
      <w:r w:rsidRPr="0032124B">
        <w:rPr>
          <w:lang w:val="uk-UA"/>
        </w:rPr>
        <w:t xml:space="preserve">прогнозування безпеки застосування ЛЗ в залежності від частоти застосування і використання ЛЗ </w:t>
      </w:r>
    </w:p>
    <w:p w:rsidR="0032124B" w:rsidRPr="0032124B" w:rsidRDefault="0032124B" w:rsidP="008512F9">
      <w:pPr>
        <w:pStyle w:val="a8"/>
        <w:numPr>
          <w:ilvl w:val="0"/>
          <w:numId w:val="28"/>
        </w:numPr>
        <w:spacing w:after="200" w:line="276" w:lineRule="auto"/>
        <w:jc w:val="both"/>
        <w:rPr>
          <w:lang w:val="uk-UA"/>
        </w:rPr>
      </w:pPr>
      <w:r w:rsidRPr="0032124B">
        <w:rPr>
          <w:lang w:val="uk-UA"/>
        </w:rPr>
        <w:t xml:space="preserve">виявлення небезпечних ЛЗ або їх властивостей </w:t>
      </w:r>
    </w:p>
    <w:p w:rsidR="0032124B" w:rsidRPr="0032124B" w:rsidRDefault="0032124B" w:rsidP="008512F9">
      <w:pPr>
        <w:pStyle w:val="a8"/>
        <w:numPr>
          <w:ilvl w:val="0"/>
          <w:numId w:val="28"/>
        </w:numPr>
        <w:spacing w:after="200" w:line="276" w:lineRule="auto"/>
        <w:jc w:val="both"/>
        <w:rPr>
          <w:lang w:val="uk-UA"/>
        </w:rPr>
      </w:pPr>
      <w:r w:rsidRPr="0032124B">
        <w:rPr>
          <w:lang w:val="uk-UA"/>
        </w:rPr>
        <w:t xml:space="preserve">виявлення груп ризику при призначенні фармакотерапії </w:t>
      </w:r>
    </w:p>
    <w:p w:rsidR="0032124B" w:rsidRPr="0032124B" w:rsidRDefault="0032124B" w:rsidP="008512F9">
      <w:pPr>
        <w:pStyle w:val="a8"/>
        <w:numPr>
          <w:ilvl w:val="0"/>
          <w:numId w:val="28"/>
        </w:numPr>
        <w:spacing w:after="200" w:line="276" w:lineRule="auto"/>
        <w:jc w:val="both"/>
        <w:rPr>
          <w:lang w:val="uk-UA"/>
        </w:rPr>
      </w:pPr>
      <w:r w:rsidRPr="0032124B">
        <w:rPr>
          <w:lang w:val="uk-UA"/>
        </w:rPr>
        <w:t>виявлення типових медичних помилок як причин виникнення ПР та розробка заходів по їх мінімізації</w:t>
      </w:r>
    </w:p>
    <w:p w:rsidR="0032124B" w:rsidRPr="0032124B" w:rsidRDefault="0032124B" w:rsidP="008512F9">
      <w:pPr>
        <w:pStyle w:val="a8"/>
        <w:numPr>
          <w:ilvl w:val="0"/>
          <w:numId w:val="28"/>
        </w:numPr>
        <w:spacing w:after="200" w:line="276" w:lineRule="auto"/>
        <w:jc w:val="both"/>
        <w:rPr>
          <w:lang w:val="uk-UA"/>
        </w:rPr>
      </w:pPr>
      <w:r w:rsidRPr="0032124B">
        <w:rPr>
          <w:lang w:val="uk-UA"/>
        </w:rPr>
        <w:t>проведення просвітницької роботи серед медичних працівників, споживачів ЛЗ (їх представників) щодо питань безпеки застосування ЛЗ</w:t>
      </w:r>
    </w:p>
    <w:p w:rsidR="0032124B" w:rsidRPr="0032124B" w:rsidRDefault="0032124B" w:rsidP="008512F9">
      <w:pPr>
        <w:pStyle w:val="a8"/>
        <w:numPr>
          <w:ilvl w:val="0"/>
          <w:numId w:val="28"/>
        </w:numPr>
        <w:spacing w:after="200" w:line="276" w:lineRule="auto"/>
        <w:jc w:val="both"/>
        <w:rPr>
          <w:lang w:val="uk-UA"/>
        </w:rPr>
      </w:pPr>
      <w:r w:rsidRPr="0032124B">
        <w:rPr>
          <w:lang w:val="uk-UA"/>
        </w:rPr>
        <w:lastRenderedPageBreak/>
        <w:t xml:space="preserve">впровадження моніторингу стаціонарів як оптимального методу збору інформації про ПР ЛЗ </w:t>
      </w:r>
    </w:p>
    <w:p w:rsidR="0032124B" w:rsidRPr="0032124B" w:rsidRDefault="0032124B" w:rsidP="008512F9">
      <w:pPr>
        <w:pStyle w:val="a8"/>
        <w:numPr>
          <w:ilvl w:val="0"/>
          <w:numId w:val="28"/>
        </w:numPr>
        <w:spacing w:after="200" w:line="276" w:lineRule="auto"/>
        <w:jc w:val="both"/>
        <w:rPr>
          <w:lang w:val="uk-UA"/>
        </w:rPr>
      </w:pPr>
      <w:r w:rsidRPr="0032124B">
        <w:rPr>
          <w:lang w:val="uk-UA"/>
        </w:rPr>
        <w:t xml:space="preserve">підключення медсестер, фармацевтів, провізорів, споживачів ЛЗ (їх представників) до процесу репортірованія про ПР ЛЗ </w:t>
      </w:r>
    </w:p>
    <w:p w:rsidR="0032124B" w:rsidRPr="0032124B" w:rsidRDefault="0032124B" w:rsidP="008512F9">
      <w:pPr>
        <w:pStyle w:val="a8"/>
        <w:numPr>
          <w:ilvl w:val="0"/>
          <w:numId w:val="28"/>
        </w:numPr>
        <w:spacing w:after="200" w:line="276" w:lineRule="auto"/>
        <w:jc w:val="both"/>
        <w:rPr>
          <w:lang w:val="uk-UA"/>
        </w:rPr>
      </w:pPr>
      <w:r w:rsidRPr="0032124B">
        <w:rPr>
          <w:lang w:val="uk-UA"/>
        </w:rPr>
        <w:t>подальша гармонізація законодавчої бази щодо здійснення фармаконагляду (внесення вимог до заявників / виробникам про необхідність наявності системи фармаконагляду та системи управління ризиками) 1</w:t>
      </w:r>
    </w:p>
    <w:p w:rsidR="0032124B" w:rsidRPr="0032124B" w:rsidRDefault="0032124B" w:rsidP="0032124B">
      <w:pPr>
        <w:spacing w:before="100" w:beforeAutospacing="1" w:after="100" w:afterAutospacing="1" w:line="240" w:lineRule="auto"/>
        <w:jc w:val="both"/>
        <w:rPr>
          <w:rFonts w:ascii="Times New Roman" w:eastAsia="Times New Roman" w:hAnsi="Times New Roman" w:cs="Times New Roman"/>
          <w:color w:val="000000"/>
          <w:sz w:val="24"/>
          <w:szCs w:val="24"/>
          <w:lang w:val="uk-UA"/>
        </w:rPr>
      </w:pPr>
      <w:r w:rsidRPr="0032124B">
        <w:rPr>
          <w:rFonts w:ascii="Times New Roman" w:eastAsia="Times New Roman" w:hAnsi="Times New Roman" w:cs="Times New Roman"/>
          <w:color w:val="000000"/>
          <w:sz w:val="24"/>
          <w:szCs w:val="24"/>
          <w:lang w:val="uk-UA"/>
        </w:rPr>
        <w:t>Дотримуючись загальних цілей системи якості, та керівних принципів, спрямованих на задоволення потреб пацієнтів, спеціалістів системи охорони здоров'я та громадськості стосовно безпеки лікарських засобів, систему якості слід адаптувати до того, наскільки критичним є кожне завдання фармаконагляду для досягнення цілей його якості для кожного лікарського засобу та/або груп лікарських засобів.</w:t>
      </w:r>
    </w:p>
    <w:p w:rsidR="0032124B" w:rsidRPr="0032124B" w:rsidRDefault="0032124B" w:rsidP="0032124B">
      <w:pPr>
        <w:jc w:val="both"/>
        <w:rPr>
          <w:rFonts w:ascii="Times New Roman" w:hAnsi="Times New Roman" w:cs="Times New Roman"/>
          <w:b/>
          <w:sz w:val="24"/>
          <w:szCs w:val="24"/>
          <w:lang w:val="uk-UA"/>
        </w:rPr>
      </w:pPr>
      <w:r w:rsidRPr="0032124B">
        <w:rPr>
          <w:rStyle w:val="ab"/>
          <w:rFonts w:ascii="Times New Roman" w:hAnsi="Times New Roman" w:cs="Times New Roman"/>
          <w:color w:val="000000"/>
          <w:spacing w:val="5"/>
          <w:sz w:val="24"/>
          <w:szCs w:val="24"/>
          <w:lang w:val="uk-UA"/>
        </w:rPr>
        <w:t>Основними об’єктами спостереження системи фармаконагляду є</w:t>
      </w:r>
      <w:r w:rsidRPr="0032124B">
        <w:rPr>
          <w:rFonts w:ascii="Times New Roman" w:hAnsi="Times New Roman" w:cs="Times New Roman"/>
          <w:color w:val="000000"/>
          <w:spacing w:val="5"/>
          <w:sz w:val="24"/>
          <w:szCs w:val="24"/>
          <w:shd w:val="clear" w:color="auto" w:fill="FFFFFF"/>
        </w:rPr>
        <w:t> </w:t>
      </w:r>
      <w:r w:rsidRPr="0032124B">
        <w:rPr>
          <w:rFonts w:ascii="Times New Roman" w:hAnsi="Times New Roman" w:cs="Times New Roman"/>
          <w:color w:val="000000"/>
          <w:spacing w:val="5"/>
          <w:sz w:val="24"/>
          <w:szCs w:val="24"/>
          <w:shd w:val="clear" w:color="auto" w:fill="FFFFFF"/>
          <w:lang w:val="uk-UA"/>
        </w:rPr>
        <w:t xml:space="preserve">побічні реакції лікарських засобів та випадки відсутності ефективності ліків при їх медичному застосуванні. </w:t>
      </w:r>
      <w:r w:rsidRPr="0032124B">
        <w:rPr>
          <w:rFonts w:ascii="Times New Roman" w:hAnsi="Times New Roman" w:cs="Times New Roman"/>
          <w:color w:val="000000"/>
          <w:spacing w:val="5"/>
          <w:sz w:val="24"/>
          <w:szCs w:val="24"/>
          <w:shd w:val="clear" w:color="auto" w:fill="FFFFFF"/>
        </w:rPr>
        <w:t>Слід зазначити, що належна якість препаратів не є абсолютною гарантією того, що проведення фармакотерапії не матиме несприятливих наслідків. Застосування лікарських засобів передбачає, що їх терапевтична дія повинна відбутися, але при цьому можуть виникнути побічні реакції. Останні зумовлені фармакологічними властивостями діючої речовини препарату або особливостями відповіді організму на його введення. Саме цими проблемами займається фармаконагляд.</w:t>
      </w:r>
    </w:p>
    <w:p w:rsidR="0032124B" w:rsidRPr="0032124B" w:rsidRDefault="0032124B" w:rsidP="0032124B">
      <w:pPr>
        <w:pStyle w:val="a7"/>
        <w:shd w:val="clear" w:color="auto" w:fill="FFFFFF"/>
        <w:spacing w:before="0" w:beforeAutospacing="0" w:after="150" w:afterAutospacing="0"/>
        <w:jc w:val="both"/>
        <w:rPr>
          <w:color w:val="333333"/>
          <w:lang w:val="uk-UA"/>
        </w:rPr>
      </w:pPr>
      <w:r w:rsidRPr="0032124B">
        <w:rPr>
          <w:rStyle w:val="bold"/>
          <w:bCs/>
          <w:color w:val="333333"/>
          <w:lang w:val="uk-UA"/>
        </w:rPr>
        <w:t>Починаючи з</w:t>
      </w:r>
      <w:r w:rsidRPr="0032124B">
        <w:rPr>
          <w:rStyle w:val="bold"/>
          <w:bCs/>
          <w:color w:val="333333"/>
        </w:rPr>
        <w:t> </w:t>
      </w:r>
      <w:r w:rsidRPr="0032124B">
        <w:rPr>
          <w:rStyle w:val="bold"/>
          <w:bCs/>
          <w:color w:val="333333"/>
          <w:lang w:val="uk-UA"/>
        </w:rPr>
        <w:t>лютого 2012</w:t>
      </w:r>
      <w:r w:rsidRPr="0032124B">
        <w:rPr>
          <w:rStyle w:val="bold"/>
          <w:bCs/>
          <w:color w:val="333333"/>
        </w:rPr>
        <w:t> </w:t>
      </w:r>
      <w:r w:rsidRPr="0032124B">
        <w:rPr>
          <w:rStyle w:val="bold"/>
          <w:bCs/>
          <w:color w:val="333333"/>
          <w:lang w:val="uk-UA"/>
        </w:rPr>
        <w:t>р. в</w:t>
      </w:r>
      <w:r w:rsidRPr="0032124B">
        <w:rPr>
          <w:rStyle w:val="bold"/>
          <w:bCs/>
          <w:color w:val="333333"/>
        </w:rPr>
        <w:t> </w:t>
      </w:r>
      <w:r w:rsidRPr="0032124B">
        <w:rPr>
          <w:rStyle w:val="bold"/>
          <w:bCs/>
          <w:color w:val="333333"/>
          <w:lang w:val="uk-UA"/>
        </w:rPr>
        <w:t>Україні також значно розширилося коло джерел інформації про</w:t>
      </w:r>
      <w:r w:rsidRPr="0032124B">
        <w:rPr>
          <w:rStyle w:val="bold"/>
          <w:bCs/>
          <w:color w:val="333333"/>
        </w:rPr>
        <w:t> </w:t>
      </w:r>
      <w:r w:rsidRPr="0032124B">
        <w:rPr>
          <w:rStyle w:val="bold"/>
          <w:bCs/>
          <w:color w:val="333333"/>
          <w:lang w:val="uk-UA"/>
        </w:rPr>
        <w:t>побічні реакції/відсутність ефективності препаратів. На</w:t>
      </w:r>
      <w:r w:rsidRPr="0032124B">
        <w:rPr>
          <w:rStyle w:val="bold"/>
          <w:bCs/>
          <w:color w:val="333333"/>
        </w:rPr>
        <w:t> </w:t>
      </w:r>
      <w:r w:rsidRPr="0032124B">
        <w:rPr>
          <w:rStyle w:val="bold"/>
          <w:bCs/>
          <w:color w:val="333333"/>
          <w:lang w:val="uk-UA"/>
        </w:rPr>
        <w:t>сьогодні до</w:t>
      </w:r>
      <w:r w:rsidRPr="0032124B">
        <w:rPr>
          <w:rStyle w:val="bold"/>
          <w:bCs/>
          <w:color w:val="333333"/>
        </w:rPr>
        <w:t> </w:t>
      </w:r>
      <w:r w:rsidRPr="0032124B">
        <w:rPr>
          <w:rStyle w:val="bold"/>
          <w:bCs/>
          <w:color w:val="333333"/>
          <w:lang w:val="uk-UA"/>
        </w:rPr>
        <w:t>нього входять заявники, лікарі, медичні сестри, фельдшери, акушери, провізори, фармацевти, пацієнти та організації, що захищають їх права та безпеку (розділи 3, 4</w:t>
      </w:r>
      <w:r w:rsidRPr="0032124B">
        <w:rPr>
          <w:rStyle w:val="bold"/>
          <w:bCs/>
          <w:color w:val="333333"/>
        </w:rPr>
        <w:t> </w:t>
      </w:r>
      <w:r w:rsidRPr="0032124B">
        <w:rPr>
          <w:rStyle w:val="bold"/>
          <w:bCs/>
          <w:color w:val="333333"/>
          <w:lang w:val="uk-UA"/>
        </w:rPr>
        <w:t>наказу МОЗ України № 898).</w:t>
      </w:r>
    </w:p>
    <w:p w:rsidR="0032124B" w:rsidRPr="0032124B" w:rsidRDefault="0032124B" w:rsidP="0032124B">
      <w:pPr>
        <w:pStyle w:val="a7"/>
        <w:shd w:val="clear" w:color="auto" w:fill="FFFFFF"/>
        <w:spacing w:before="0" w:beforeAutospacing="0" w:after="150" w:afterAutospacing="0"/>
        <w:jc w:val="both"/>
        <w:rPr>
          <w:color w:val="333333"/>
          <w:lang w:val="uk-UA"/>
        </w:rPr>
      </w:pPr>
      <w:r w:rsidRPr="0032124B">
        <w:rPr>
          <w:color w:val="333333"/>
          <w:lang w:val="uk-UA"/>
        </w:rPr>
        <w:t>У</w:t>
      </w:r>
      <w:r w:rsidRPr="0032124B">
        <w:rPr>
          <w:color w:val="333333"/>
        </w:rPr>
        <w:t> </w:t>
      </w:r>
      <w:r w:rsidRPr="0032124B">
        <w:rPr>
          <w:color w:val="333333"/>
          <w:lang w:val="uk-UA"/>
        </w:rPr>
        <w:t>складі Європейської медичної агенції (ЄМА) створено комітет з</w:t>
      </w:r>
      <w:r w:rsidRPr="0032124B">
        <w:rPr>
          <w:color w:val="333333"/>
        </w:rPr>
        <w:t> </w:t>
      </w:r>
      <w:r w:rsidRPr="0032124B">
        <w:rPr>
          <w:color w:val="333333"/>
          <w:lang w:val="uk-UA"/>
        </w:rPr>
        <w:t>оцінки ризиків (</w:t>
      </w:r>
      <w:r w:rsidRPr="0032124B">
        <w:rPr>
          <w:color w:val="333333"/>
        </w:rPr>
        <w:t>Pharmacovigilance</w:t>
      </w:r>
      <w:r w:rsidRPr="0032124B">
        <w:rPr>
          <w:color w:val="333333"/>
          <w:lang w:val="uk-UA"/>
        </w:rPr>
        <w:t xml:space="preserve"> </w:t>
      </w:r>
      <w:r w:rsidRPr="0032124B">
        <w:rPr>
          <w:color w:val="333333"/>
        </w:rPr>
        <w:t>Risk</w:t>
      </w:r>
      <w:r w:rsidRPr="0032124B">
        <w:rPr>
          <w:color w:val="333333"/>
          <w:lang w:val="uk-UA"/>
        </w:rPr>
        <w:t xml:space="preserve"> </w:t>
      </w:r>
      <w:r w:rsidRPr="0032124B">
        <w:rPr>
          <w:color w:val="333333"/>
        </w:rPr>
        <w:t>Assessment</w:t>
      </w:r>
      <w:r w:rsidRPr="0032124B">
        <w:rPr>
          <w:color w:val="333333"/>
          <w:lang w:val="uk-UA"/>
        </w:rPr>
        <w:t xml:space="preserve"> </w:t>
      </w:r>
      <w:r w:rsidRPr="0032124B">
        <w:rPr>
          <w:color w:val="333333"/>
        </w:rPr>
        <w:t>Committee </w:t>
      </w:r>
      <w:r w:rsidRPr="0032124B">
        <w:rPr>
          <w:color w:val="333333"/>
          <w:lang w:val="uk-UA"/>
        </w:rPr>
        <w:t xml:space="preserve">— </w:t>
      </w:r>
      <w:r w:rsidRPr="0032124B">
        <w:rPr>
          <w:color w:val="333333"/>
        </w:rPr>
        <w:t>PRAC</w:t>
      </w:r>
      <w:r w:rsidRPr="0032124B">
        <w:rPr>
          <w:color w:val="333333"/>
          <w:lang w:val="uk-UA"/>
        </w:rPr>
        <w:t>), у</w:t>
      </w:r>
      <w:r w:rsidRPr="0032124B">
        <w:rPr>
          <w:color w:val="333333"/>
        </w:rPr>
        <w:t> </w:t>
      </w:r>
      <w:r w:rsidRPr="0032124B">
        <w:rPr>
          <w:color w:val="333333"/>
          <w:lang w:val="uk-UA"/>
        </w:rPr>
        <w:t>сферу діяльності якого входять усі аспекти управління ризиками лікарських засобів. Таким чином, в</w:t>
      </w:r>
      <w:r w:rsidRPr="0032124B">
        <w:rPr>
          <w:color w:val="333333"/>
        </w:rPr>
        <w:t> </w:t>
      </w:r>
      <w:r w:rsidRPr="0032124B">
        <w:rPr>
          <w:color w:val="333333"/>
          <w:lang w:val="uk-UA"/>
        </w:rPr>
        <w:t>ЄС уперше узаконено концепцію виявлення сигналів та чітко розподілено функції і обов’язки ЄМА та держав-членів.</w:t>
      </w:r>
    </w:p>
    <w:p w:rsidR="0032124B" w:rsidRPr="0032124B" w:rsidRDefault="0032124B" w:rsidP="0032124B">
      <w:pPr>
        <w:pStyle w:val="a7"/>
        <w:shd w:val="clear" w:color="auto" w:fill="FFFFFF"/>
        <w:spacing w:before="0" w:beforeAutospacing="0" w:after="150" w:afterAutospacing="0"/>
        <w:jc w:val="both"/>
        <w:rPr>
          <w:color w:val="333333"/>
          <w:lang w:val="uk-UA"/>
        </w:rPr>
      </w:pPr>
      <w:r w:rsidRPr="0032124B">
        <w:rPr>
          <w:rStyle w:val="bold"/>
          <w:bCs/>
          <w:color w:val="333333"/>
          <w:lang w:val="uk-UA"/>
        </w:rPr>
        <w:t>Слід звернути увагу на</w:t>
      </w:r>
      <w:r w:rsidRPr="0032124B">
        <w:rPr>
          <w:rStyle w:val="bold"/>
          <w:bCs/>
          <w:color w:val="333333"/>
        </w:rPr>
        <w:t> </w:t>
      </w:r>
      <w:r w:rsidRPr="0032124B">
        <w:rPr>
          <w:rStyle w:val="bold"/>
          <w:bCs/>
          <w:color w:val="333333"/>
          <w:lang w:val="uk-UA"/>
        </w:rPr>
        <w:t>те, що зазначені вище структури створені та функціонують у</w:t>
      </w:r>
      <w:r w:rsidRPr="0032124B">
        <w:rPr>
          <w:rStyle w:val="bold"/>
          <w:bCs/>
          <w:color w:val="333333"/>
        </w:rPr>
        <w:t> </w:t>
      </w:r>
      <w:r w:rsidRPr="0032124B">
        <w:rPr>
          <w:rStyle w:val="bold"/>
          <w:bCs/>
          <w:color w:val="333333"/>
          <w:lang w:val="uk-UA"/>
        </w:rPr>
        <w:t>Європі з</w:t>
      </w:r>
      <w:r w:rsidRPr="0032124B">
        <w:rPr>
          <w:rStyle w:val="bold"/>
          <w:bCs/>
          <w:color w:val="333333"/>
        </w:rPr>
        <w:t> </w:t>
      </w:r>
      <w:r w:rsidRPr="0032124B">
        <w:rPr>
          <w:rStyle w:val="bold"/>
          <w:bCs/>
          <w:color w:val="333333"/>
          <w:lang w:val="uk-UA"/>
        </w:rPr>
        <w:t>2012</w:t>
      </w:r>
      <w:r w:rsidRPr="0032124B">
        <w:rPr>
          <w:rStyle w:val="bold"/>
          <w:bCs/>
          <w:color w:val="333333"/>
        </w:rPr>
        <w:t> </w:t>
      </w:r>
      <w:r w:rsidRPr="0032124B">
        <w:rPr>
          <w:rStyle w:val="bold"/>
          <w:bCs/>
          <w:color w:val="333333"/>
          <w:lang w:val="uk-UA"/>
        </w:rPr>
        <w:t>р. Питання створення в</w:t>
      </w:r>
      <w:r w:rsidRPr="0032124B">
        <w:rPr>
          <w:rStyle w:val="bold"/>
          <w:bCs/>
          <w:color w:val="333333"/>
        </w:rPr>
        <w:t> </w:t>
      </w:r>
      <w:r w:rsidRPr="0032124B">
        <w:rPr>
          <w:rStyle w:val="bold"/>
          <w:bCs/>
          <w:color w:val="333333"/>
          <w:lang w:val="uk-UA"/>
        </w:rPr>
        <w:t>Україні управління з</w:t>
      </w:r>
      <w:r w:rsidRPr="0032124B">
        <w:rPr>
          <w:rStyle w:val="bold"/>
          <w:bCs/>
          <w:color w:val="333333"/>
        </w:rPr>
        <w:t> </w:t>
      </w:r>
      <w:r w:rsidRPr="0032124B">
        <w:rPr>
          <w:rStyle w:val="bold"/>
          <w:bCs/>
          <w:color w:val="333333"/>
          <w:lang w:val="uk-UA"/>
        </w:rPr>
        <w:t>оцінки ризиків та відділу аудиту у</w:t>
      </w:r>
      <w:r w:rsidRPr="0032124B">
        <w:rPr>
          <w:rStyle w:val="bold"/>
          <w:bCs/>
          <w:color w:val="333333"/>
        </w:rPr>
        <w:t> </w:t>
      </w:r>
      <w:r w:rsidRPr="0032124B">
        <w:rPr>
          <w:rStyle w:val="bold"/>
          <w:bCs/>
          <w:color w:val="333333"/>
          <w:lang w:val="uk-UA"/>
        </w:rPr>
        <w:t>складі Департаменту післяреєстраційного нагляду Центру знаходиться на</w:t>
      </w:r>
      <w:r w:rsidRPr="0032124B">
        <w:rPr>
          <w:rStyle w:val="bold"/>
          <w:bCs/>
          <w:color w:val="333333"/>
        </w:rPr>
        <w:t> </w:t>
      </w:r>
      <w:r w:rsidRPr="0032124B">
        <w:rPr>
          <w:rStyle w:val="bold"/>
          <w:bCs/>
          <w:color w:val="333333"/>
          <w:lang w:val="uk-UA"/>
        </w:rPr>
        <w:t>етапі розгляду</w:t>
      </w:r>
      <w:r w:rsidRPr="0032124B">
        <w:rPr>
          <w:rStyle w:val="bold"/>
          <w:b/>
          <w:bCs/>
          <w:color w:val="333333"/>
          <w:lang w:val="uk-UA"/>
        </w:rPr>
        <w:t>.</w:t>
      </w:r>
    </w:p>
    <w:p w:rsidR="0032124B" w:rsidRPr="0032124B" w:rsidRDefault="0032124B" w:rsidP="0032124B">
      <w:pPr>
        <w:pStyle w:val="a7"/>
        <w:shd w:val="clear" w:color="auto" w:fill="FFFFFF"/>
        <w:spacing w:before="0" w:beforeAutospacing="0" w:after="150" w:afterAutospacing="0"/>
        <w:jc w:val="both"/>
        <w:rPr>
          <w:color w:val="333333"/>
        </w:rPr>
      </w:pPr>
      <w:r w:rsidRPr="0032124B">
        <w:rPr>
          <w:color w:val="333333"/>
        </w:rPr>
        <w:t>Згідно з оновленим законодавством проактивний фармаконагляд у ЄС включає процеси, які має здійснювати як кожен власник реєстраційного посвідчення, так і регуляторний орган:</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збір та аналіз даних з безпеки, отриманих з різних джерел;</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виявлення на основі цих даних сигналів з безпеки;</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оцінка проблем безпеки;</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оцінка співвідношення користь/ризик;</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регуляторні заходи та/або мінімізація ризику;</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комунікація з питань безпеки;</w:t>
      </w:r>
    </w:p>
    <w:p w:rsidR="0032124B" w:rsidRPr="0032124B" w:rsidRDefault="0032124B" w:rsidP="008512F9">
      <w:pPr>
        <w:numPr>
          <w:ilvl w:val="0"/>
          <w:numId w:val="27"/>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32124B">
        <w:rPr>
          <w:rStyle w:val="bold"/>
          <w:rFonts w:ascii="Times New Roman" w:hAnsi="Times New Roman" w:cs="Times New Roman"/>
          <w:b/>
          <w:bCs/>
          <w:color w:val="333333"/>
          <w:sz w:val="24"/>
          <w:szCs w:val="24"/>
        </w:rPr>
        <w:t> </w:t>
      </w:r>
      <w:r w:rsidRPr="0032124B">
        <w:rPr>
          <w:rFonts w:ascii="Times New Roman" w:hAnsi="Times New Roman" w:cs="Times New Roman"/>
          <w:color w:val="333333"/>
          <w:sz w:val="24"/>
          <w:szCs w:val="24"/>
        </w:rPr>
        <w:t>аудит/інспекція.</w:t>
      </w:r>
    </w:p>
    <w:p w:rsidR="0032124B" w:rsidRPr="0032124B" w:rsidRDefault="0032124B" w:rsidP="0032124B">
      <w:pPr>
        <w:pStyle w:val="a7"/>
        <w:shd w:val="clear" w:color="auto" w:fill="FFFFFF"/>
        <w:spacing w:before="0" w:beforeAutospacing="0" w:after="150" w:afterAutospacing="0"/>
        <w:jc w:val="both"/>
        <w:rPr>
          <w:lang w:val="uk-UA"/>
        </w:rPr>
      </w:pPr>
      <w:r w:rsidRPr="0032124B">
        <w:t xml:space="preserve">Здійснення нагляду за побічними реакціями ЛЗ, дозволених до медичного застосування, покладено МОЗ України на Державне підприємство "Державний експертний центр МОЗ України". </w:t>
      </w:r>
      <w:r w:rsidRPr="0032124B">
        <w:rPr>
          <w:lang w:val="uk-UA"/>
        </w:rPr>
        <w:t>ДЄЦ</w:t>
      </w:r>
      <w:r w:rsidRPr="0032124B">
        <w:t xml:space="preserve"> </w:t>
      </w:r>
      <w:r w:rsidRPr="0032124B">
        <w:rPr>
          <w:lang w:val="uk-UA"/>
        </w:rPr>
        <w:t>з</w:t>
      </w:r>
      <w:r w:rsidRPr="0032124B">
        <w:t>бирає інформацію про:</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 побічні реакції при застосуванні лікарських засобів;</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lastRenderedPageBreak/>
        <w:t xml:space="preserve"> • відсутність терапевтичного ефекту; </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передозування лікарського засобу; </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взаємодію з іншими лікарськими препаратами; </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помилкове призначення лікарського засобу;</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 несподіваний терапевтичний ефект;</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 неправильне застосування; </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скарги на якість лікарських засобів;</w:t>
      </w:r>
    </w:p>
    <w:p w:rsidR="0032124B" w:rsidRPr="0032124B" w:rsidRDefault="0032124B" w:rsidP="0032124B">
      <w:pPr>
        <w:pStyle w:val="a7"/>
        <w:shd w:val="clear" w:color="auto" w:fill="FFFFFF"/>
        <w:spacing w:before="0" w:beforeAutospacing="0" w:after="150" w:afterAutospacing="0"/>
        <w:jc w:val="both"/>
        <w:rPr>
          <w:lang w:val="uk-UA"/>
        </w:rPr>
      </w:pPr>
      <w:r w:rsidRPr="0032124B">
        <w:rPr>
          <w:lang w:val="uk-UA"/>
        </w:rPr>
        <w:t xml:space="preserve"> • будь-яку іншу інформацію, що стосується якості, безпеки та ефективності застосування ЛЗ</w:t>
      </w:r>
    </w:p>
    <w:p w:rsidR="0032124B" w:rsidRPr="0032124B" w:rsidRDefault="0032124B" w:rsidP="0032124B">
      <w:pPr>
        <w:jc w:val="both"/>
        <w:rPr>
          <w:rFonts w:ascii="Times New Roman" w:hAnsi="Times New Roman" w:cs="Times New Roman"/>
          <w:b/>
          <w:sz w:val="24"/>
          <w:szCs w:val="24"/>
          <w:lang w:val="uk-UA"/>
        </w:rPr>
      </w:pPr>
      <w:r w:rsidRPr="0032124B">
        <w:rPr>
          <w:rFonts w:ascii="Times New Roman" w:hAnsi="Times New Roman" w:cs="Times New Roman"/>
          <w:b/>
          <w:sz w:val="24"/>
          <w:szCs w:val="24"/>
        </w:rPr>
        <w:t>Принципова схема отримання інформації про ПР ЛЗ методом спонтанних повідомлень в Україні від лікарів.</w:t>
      </w:r>
    </w:p>
    <w:p w:rsidR="0032124B" w:rsidRPr="00167693" w:rsidRDefault="0032124B" w:rsidP="0032124B">
      <w:pPr>
        <w:spacing w:before="330" w:after="165" w:line="240" w:lineRule="auto"/>
        <w:jc w:val="both"/>
        <w:outlineLvl w:val="2"/>
        <w:rPr>
          <w:rFonts w:ascii="Times New Roman" w:eastAsia="Times New Roman" w:hAnsi="Times New Roman" w:cs="Times New Roman"/>
          <w:sz w:val="24"/>
          <w:szCs w:val="24"/>
          <w:lang w:val="uk-UA"/>
        </w:rPr>
      </w:pPr>
      <w:r w:rsidRPr="00167693">
        <w:rPr>
          <w:rFonts w:ascii="Times New Roman" w:eastAsia="Times New Roman" w:hAnsi="Times New Roman" w:cs="Times New Roman"/>
          <w:bCs/>
          <w:sz w:val="24"/>
          <w:szCs w:val="24"/>
        </w:rPr>
        <w:t>Джерела</w:t>
      </w:r>
      <w:r w:rsidRPr="00167693">
        <w:rPr>
          <w:rFonts w:ascii="Times New Roman" w:eastAsia="Times New Roman" w:hAnsi="Times New Roman" w:cs="Times New Roman"/>
          <w:bCs/>
          <w:sz w:val="24"/>
          <w:szCs w:val="24"/>
          <w:lang w:val="uk-UA"/>
        </w:rPr>
        <w:t>ми</w:t>
      </w:r>
      <w:r w:rsidRPr="00167693">
        <w:rPr>
          <w:rFonts w:ascii="Times New Roman" w:eastAsia="Times New Roman" w:hAnsi="Times New Roman" w:cs="Times New Roman"/>
          <w:bCs/>
          <w:sz w:val="24"/>
          <w:szCs w:val="24"/>
        </w:rPr>
        <w:t xml:space="preserve"> отримання та обмін</w:t>
      </w:r>
      <w:r w:rsidRPr="00167693">
        <w:rPr>
          <w:rFonts w:ascii="Times New Roman" w:eastAsia="Times New Roman" w:hAnsi="Times New Roman" w:cs="Times New Roman"/>
          <w:bCs/>
          <w:sz w:val="24"/>
          <w:szCs w:val="24"/>
          <w:lang w:val="uk-UA"/>
        </w:rPr>
        <w:t>у</w:t>
      </w:r>
      <w:r w:rsidRPr="00167693">
        <w:rPr>
          <w:rFonts w:ascii="Times New Roman" w:eastAsia="Times New Roman" w:hAnsi="Times New Roman" w:cs="Times New Roman"/>
          <w:bCs/>
          <w:sz w:val="24"/>
          <w:szCs w:val="24"/>
        </w:rPr>
        <w:t xml:space="preserve"> інформацією про побічні реакції лікарських засобів, дозволених до медичного застосування</w:t>
      </w:r>
      <w:r w:rsidRPr="00167693">
        <w:rPr>
          <w:rFonts w:ascii="Times New Roman" w:eastAsia="Times New Roman" w:hAnsi="Times New Roman" w:cs="Times New Roman"/>
          <w:bCs/>
          <w:sz w:val="24"/>
          <w:szCs w:val="24"/>
          <w:lang w:val="uk-UA"/>
        </w:rPr>
        <w:t>:</w:t>
      </w:r>
    </w:p>
    <w:p w:rsidR="0032124B" w:rsidRPr="00167693" w:rsidRDefault="0032124B" w:rsidP="008512F9">
      <w:pPr>
        <w:pStyle w:val="a8"/>
        <w:numPr>
          <w:ilvl w:val="0"/>
          <w:numId w:val="30"/>
        </w:numPr>
        <w:spacing w:after="165"/>
        <w:jc w:val="both"/>
      </w:pPr>
      <w:r w:rsidRPr="00167693">
        <w:t>Інформація про побічні реакції лікарських засобів надходить до Центру від:</w:t>
      </w:r>
    </w:p>
    <w:p w:rsidR="0032124B" w:rsidRPr="00167693" w:rsidRDefault="0032124B" w:rsidP="008512F9">
      <w:pPr>
        <w:pStyle w:val="a8"/>
        <w:numPr>
          <w:ilvl w:val="0"/>
          <w:numId w:val="31"/>
        </w:numPr>
        <w:spacing w:after="165"/>
        <w:jc w:val="both"/>
      </w:pPr>
      <w:r w:rsidRPr="00167693">
        <w:t>лікарів усіх закладів охорони здоров'я незалежно від підпорядкування та форм власності;</w:t>
      </w:r>
    </w:p>
    <w:p w:rsidR="0032124B" w:rsidRPr="00167693" w:rsidRDefault="0032124B" w:rsidP="008512F9">
      <w:pPr>
        <w:pStyle w:val="a8"/>
        <w:numPr>
          <w:ilvl w:val="0"/>
          <w:numId w:val="31"/>
        </w:numPr>
        <w:spacing w:after="165"/>
        <w:jc w:val="both"/>
      </w:pPr>
      <w:r w:rsidRPr="00167693">
        <w:t>усіх закладів охорони здоров'я незалежно від підпорядкування та форм власності;</w:t>
      </w:r>
    </w:p>
    <w:p w:rsidR="0032124B" w:rsidRPr="00167693" w:rsidRDefault="0032124B" w:rsidP="008512F9">
      <w:pPr>
        <w:pStyle w:val="a8"/>
        <w:numPr>
          <w:ilvl w:val="0"/>
          <w:numId w:val="31"/>
        </w:numPr>
        <w:spacing w:after="165"/>
        <w:jc w:val="both"/>
      </w:pPr>
      <w:r w:rsidRPr="00167693">
        <w:t>Державної інспекції з контролю якості лікарських засобів Міністерства охорони здоров'я України;</w:t>
      </w:r>
    </w:p>
    <w:p w:rsidR="0032124B" w:rsidRPr="00167693" w:rsidRDefault="0032124B" w:rsidP="008512F9">
      <w:pPr>
        <w:pStyle w:val="a8"/>
        <w:numPr>
          <w:ilvl w:val="0"/>
          <w:numId w:val="31"/>
        </w:numPr>
        <w:spacing w:after="165"/>
        <w:jc w:val="both"/>
      </w:pPr>
      <w:r w:rsidRPr="00167693">
        <w:t>виробників/заявників (або їх представників);</w:t>
      </w:r>
    </w:p>
    <w:p w:rsidR="0032124B" w:rsidRPr="00167693" w:rsidRDefault="0032124B" w:rsidP="008512F9">
      <w:pPr>
        <w:pStyle w:val="a8"/>
        <w:numPr>
          <w:ilvl w:val="0"/>
          <w:numId w:val="31"/>
        </w:numPr>
        <w:spacing w:after="165"/>
        <w:jc w:val="both"/>
      </w:pPr>
      <w:r w:rsidRPr="00167693">
        <w:t>уповноважених міжнародних організацій (Всесвітня організація охорони здоров'я - далі - ВООЗ, Європейське співтовариство - далі - ЄС);</w:t>
      </w:r>
    </w:p>
    <w:p w:rsidR="0032124B" w:rsidRPr="00167693" w:rsidRDefault="0032124B" w:rsidP="008512F9">
      <w:pPr>
        <w:pStyle w:val="a8"/>
        <w:numPr>
          <w:ilvl w:val="0"/>
          <w:numId w:val="31"/>
        </w:numPr>
        <w:spacing w:after="165"/>
        <w:jc w:val="both"/>
      </w:pPr>
      <w:r w:rsidRPr="00167693">
        <w:t>медичних інформаційних джерел та наукових видань;</w:t>
      </w:r>
    </w:p>
    <w:p w:rsidR="0032124B" w:rsidRPr="00167693" w:rsidRDefault="0032124B" w:rsidP="008512F9">
      <w:pPr>
        <w:pStyle w:val="a8"/>
        <w:numPr>
          <w:ilvl w:val="0"/>
          <w:numId w:val="31"/>
        </w:numPr>
        <w:spacing w:after="165"/>
        <w:jc w:val="both"/>
      </w:pPr>
      <w:r w:rsidRPr="00167693">
        <w:t>організацій, які представляють інтереси споживачів лікарських засобів, дозволених до медичного застосування в Україні.</w:t>
      </w:r>
    </w:p>
    <w:p w:rsidR="0032124B" w:rsidRPr="00167693" w:rsidRDefault="0032124B" w:rsidP="008512F9">
      <w:pPr>
        <w:pStyle w:val="a8"/>
        <w:numPr>
          <w:ilvl w:val="0"/>
          <w:numId w:val="29"/>
        </w:numPr>
        <w:spacing w:after="165"/>
        <w:jc w:val="both"/>
      </w:pPr>
      <w:r w:rsidRPr="00167693">
        <w:t>Центр надає інформацію про зареєстровані випадки побічних реакцій лікарських засобів:</w:t>
      </w:r>
    </w:p>
    <w:p w:rsidR="0032124B" w:rsidRPr="00167693" w:rsidRDefault="0032124B" w:rsidP="0032124B">
      <w:pPr>
        <w:spacing w:after="165" w:line="240" w:lineRule="auto"/>
        <w:jc w:val="both"/>
        <w:rPr>
          <w:rFonts w:ascii="Times New Roman" w:eastAsia="Times New Roman" w:hAnsi="Times New Roman" w:cs="Times New Roman"/>
          <w:sz w:val="24"/>
          <w:szCs w:val="24"/>
        </w:rPr>
      </w:pPr>
      <w:r w:rsidRPr="00167693">
        <w:rPr>
          <w:rFonts w:ascii="Times New Roman" w:eastAsia="Times New Roman" w:hAnsi="Times New Roman" w:cs="Times New Roman"/>
          <w:sz w:val="24"/>
          <w:szCs w:val="24"/>
        </w:rPr>
        <w:t>1. Державній інспекції з контролю якості лікарських засобів Міністерства охорони здоров'я України про всі серйозні побічні реакції лікарського засобу, що призвели до смерті хворого, а також про всі побічні реакції лікарських засобів у разі підозри на неналежну якість лікарського засобу із зазначенням підозрюваного лікарського засобу, виробника підозрюваного лікарського засобу, опису побічної реакції, наслідків побічної реакції - негайно, але не пізніше 48 годин з моменту отримання цієї інформації Центром.</w:t>
      </w:r>
    </w:p>
    <w:p w:rsidR="0032124B" w:rsidRPr="00167693" w:rsidRDefault="0032124B" w:rsidP="0032124B">
      <w:pPr>
        <w:spacing w:after="165" w:line="240" w:lineRule="auto"/>
        <w:jc w:val="both"/>
        <w:rPr>
          <w:rFonts w:ascii="Times New Roman" w:eastAsia="Times New Roman" w:hAnsi="Times New Roman" w:cs="Times New Roman"/>
          <w:sz w:val="24"/>
          <w:szCs w:val="24"/>
        </w:rPr>
      </w:pPr>
      <w:r w:rsidRPr="00167693">
        <w:rPr>
          <w:rFonts w:ascii="Times New Roman" w:eastAsia="Times New Roman" w:hAnsi="Times New Roman" w:cs="Times New Roman"/>
          <w:sz w:val="24"/>
          <w:szCs w:val="24"/>
        </w:rPr>
        <w:t>2. Виробнику/заявнику (або його представнику) стосовно лікарських засобів, які він виробляє:</w:t>
      </w:r>
    </w:p>
    <w:p w:rsidR="0032124B" w:rsidRPr="00167693" w:rsidRDefault="0032124B" w:rsidP="008512F9">
      <w:pPr>
        <w:pStyle w:val="a8"/>
        <w:numPr>
          <w:ilvl w:val="0"/>
          <w:numId w:val="32"/>
        </w:numPr>
        <w:spacing w:after="165"/>
        <w:jc w:val="both"/>
      </w:pPr>
      <w:r w:rsidRPr="00167693">
        <w:t>про всі серйозні побічні реакції лікарського засобу, які призвели до інвалідності, смерті хворого, аномалій розвитку плода, а також про серйозні непередбачені побічні реакції лікарського засобу із зазначенням підозрюваного лікарського засобу, ініціалів хворого, статі, віку, опису побічної реакції, показань до призначення підозрюваного лікарського засобу (діагнозу), супутньої фармакотерапії, засобів корекції проявів побічної реакції, даних анамнезу, наслідків побічної реакції - негайно, але не пізніше 48 годин з моменту отримання цієї інформації Центром;</w:t>
      </w:r>
    </w:p>
    <w:p w:rsidR="0032124B" w:rsidRPr="00167693" w:rsidRDefault="0032124B" w:rsidP="008512F9">
      <w:pPr>
        <w:pStyle w:val="a8"/>
        <w:numPr>
          <w:ilvl w:val="0"/>
          <w:numId w:val="32"/>
        </w:numPr>
        <w:spacing w:after="165"/>
        <w:jc w:val="both"/>
      </w:pPr>
      <w:r w:rsidRPr="00167693">
        <w:t>про побічні реакції лікарського засобу при його перереєстрації в Україні із зазначенням загальної кількості побічних реакцій лікарського засобу, як серйозних, так і несерйозних - одноразово на вимогу, але не раніше, як за 1 рік до закінчення терміну діючого реєстраційного посвідчення;</w:t>
      </w:r>
    </w:p>
    <w:p w:rsidR="0032124B" w:rsidRPr="00167693" w:rsidRDefault="0032124B" w:rsidP="008512F9">
      <w:pPr>
        <w:pStyle w:val="a8"/>
        <w:numPr>
          <w:ilvl w:val="0"/>
          <w:numId w:val="32"/>
        </w:numPr>
        <w:spacing w:after="165"/>
        <w:jc w:val="both"/>
      </w:pPr>
      <w:r w:rsidRPr="00167693">
        <w:t xml:space="preserve">про побічні реакції лікарського засобу для формування відповідних розділів регулярного звіту із зазначенням загальної кількості побічних реакцій лікарського засобу, як серйозних, так і несерйозних; розгорнутої інформації про серйозні та непередбачені </w:t>
      </w:r>
      <w:r w:rsidRPr="00167693">
        <w:lastRenderedPageBreak/>
        <w:t>несерйозні побічні реакції (підозрюваний лікарський засіб, ініціали хворого, опис побічної реакції, показань до призначення підозрюваного лікарського засобу (діагнозу), супутньої фармакотерапії, засобів корекції проявів побічної реакції, даних анамнезу, наслідків побічної реакції); загальної кількості системних проявів несерйозної побічної реакції - на його вимогу;</w:t>
      </w:r>
    </w:p>
    <w:p w:rsidR="0032124B" w:rsidRPr="00167693" w:rsidRDefault="0032124B" w:rsidP="008512F9">
      <w:pPr>
        <w:pStyle w:val="a8"/>
        <w:numPr>
          <w:ilvl w:val="0"/>
          <w:numId w:val="32"/>
        </w:numPr>
        <w:spacing w:after="165"/>
        <w:jc w:val="both"/>
      </w:pPr>
      <w:r w:rsidRPr="00167693">
        <w:t>про побічні реакції лікарського засобу для надання реєстраційного досьє при реєстрації/перереєстрації в інших країнах - на його вимогу.</w:t>
      </w:r>
    </w:p>
    <w:p w:rsidR="0032124B" w:rsidRPr="00167693" w:rsidRDefault="0032124B" w:rsidP="0032124B">
      <w:pPr>
        <w:pStyle w:val="a7"/>
        <w:shd w:val="clear" w:color="auto" w:fill="FFFFFF"/>
        <w:spacing w:before="0" w:beforeAutospacing="0"/>
        <w:jc w:val="both"/>
        <w:rPr>
          <w:spacing w:val="5"/>
          <w:lang w:val="uk-UA"/>
        </w:rPr>
      </w:pPr>
      <w:r w:rsidRPr="00167693">
        <w:rPr>
          <w:spacing w:val="5"/>
        </w:rPr>
        <w:t>На думку експертів ВООЗ, система фармаконагляду вважається дієвою, коли протягом року на 1 млн. населення надходить не менше 100 повідомлень про випадки ПР ЛЗ. Оптимальним є надходження 500 повідомлень про ПР ЛЗ на 1 млн. населення. Прикладом може бути Швейцарія, у якій протягом року надходить не менше 500 повідомлень про ПР ЛЗ. В Україні у 2012 р. рівень надходження повідомлень про ПР ЛЗ досяг 254 на 1 млн. населення, що свідчить про достатній рівень інформування, який має потенціал до зростання.</w:t>
      </w:r>
    </w:p>
    <w:p w:rsidR="0032124B" w:rsidRPr="00167693" w:rsidRDefault="0032124B" w:rsidP="0032124B">
      <w:pPr>
        <w:pStyle w:val="a7"/>
        <w:shd w:val="clear" w:color="auto" w:fill="FFFFFF"/>
        <w:jc w:val="both"/>
        <w:rPr>
          <w:spacing w:val="5"/>
          <w:lang w:val="uk-UA"/>
        </w:rPr>
      </w:pPr>
      <w:r w:rsidRPr="00167693">
        <w:rPr>
          <w:spacing w:val="5"/>
          <w:lang w:val="uk-UA"/>
        </w:rPr>
        <w:t xml:space="preserve">Протягом багатьох років безпека пацієнтів є предметом особливої уваги Всесвітньої організації охорони здоров'я (ВООЗ) та частиною національних програм у багатьох країнах світу. В Україні до ДЕЦ - служби з нагляду у сфері охорони здоров'я щодня надходять повідомлення від співробітників лікувально-профілактичних установ (ЛПЗ) про випадки ускладнень фармакотерапії, реалізацію недоброякісних, фальсифікованих та контрафактних ЛП. Наприклад, у 2015 р. до автоматизованих інформаційних систем надійшло 23518 повідомлень про побічні дії, серйозні небажані реакції (НР), непередбачені НР, епізоди терапевтичної неефективності ЛП. </w:t>
      </w:r>
    </w:p>
    <w:p w:rsidR="0032124B" w:rsidRPr="00167693" w:rsidRDefault="0032124B" w:rsidP="0032124B">
      <w:pPr>
        <w:pStyle w:val="a7"/>
        <w:shd w:val="clear" w:color="auto" w:fill="FFFFFF"/>
        <w:jc w:val="both"/>
        <w:rPr>
          <w:spacing w:val="5"/>
          <w:lang w:val="uk-UA"/>
        </w:rPr>
      </w:pPr>
      <w:r w:rsidRPr="00167693">
        <w:rPr>
          <w:spacing w:val="5"/>
          <w:lang w:val="uk-UA"/>
        </w:rPr>
        <w:t xml:space="preserve">Важливою ланкою системи фармаконагляду можуть бути фармацевтичні фахівці, які мають безпосередній контакт як з лікарськими препаратами, так і споживачами. Однак в Україні їх участь у моніторингу безпеки ЛП дуже незначна, спонтанні повідомлення у відповідні служби надсилають одиниці. Кінцеві споживачі ЛЗ також не повідомляють ДЕЦ про побічні дії, серйозні небажані реакції (НР), непередбачені НР, епізоди терапевтичної неефективності ЛП. </w:t>
      </w:r>
    </w:p>
    <w:p w:rsidR="0032124B" w:rsidRPr="00167693" w:rsidRDefault="0032124B" w:rsidP="0032124B">
      <w:pPr>
        <w:pStyle w:val="a7"/>
        <w:shd w:val="clear" w:color="auto" w:fill="FFFFFF"/>
        <w:spacing w:before="0" w:beforeAutospacing="0"/>
        <w:jc w:val="both"/>
        <w:rPr>
          <w:spacing w:val="5"/>
          <w:lang w:val="uk-UA"/>
        </w:rPr>
      </w:pPr>
      <w:r w:rsidRPr="00167693">
        <w:rPr>
          <w:spacing w:val="5"/>
          <w:lang w:val="uk-UA"/>
        </w:rPr>
        <w:t>Таким чином, на сьогоднішній день проблема забезпечення фармацевтичної безпеки (ФБ) є актуальною, вимагає всебічного аналізу для виявлення проблемних областей, що надалі дозволить приймати обґрунтовані рішення, що дозволяють удосконалювати взаємодію суб'єктів обігу лікарських засобів для мінімізації ризику, що виникає при застосування ЛП у пацієнтів.</w:t>
      </w:r>
    </w:p>
    <w:p w:rsidR="0088636D" w:rsidRPr="0088636D" w:rsidRDefault="0088636D" w:rsidP="0088636D">
      <w:pPr>
        <w:pStyle w:val="docdata"/>
        <w:spacing w:before="0" w:beforeAutospacing="0" w:after="0" w:afterAutospacing="0"/>
        <w:jc w:val="both"/>
        <w:rPr>
          <w:color w:val="000000"/>
        </w:rPr>
      </w:pPr>
      <w:r w:rsidRPr="0088636D">
        <w:rPr>
          <w:b/>
          <w:bCs/>
          <w:color w:val="000000"/>
        </w:rPr>
        <w:t>Загальне матеріальне та навально-методичне забезпечення лекції:</w:t>
      </w:r>
    </w:p>
    <w:p w:rsidR="0088636D" w:rsidRPr="0088636D" w:rsidRDefault="0088636D" w:rsidP="008512F9">
      <w:pPr>
        <w:pStyle w:val="a8"/>
        <w:numPr>
          <w:ilvl w:val="0"/>
          <w:numId w:val="5"/>
        </w:numPr>
        <w:suppressAutoHyphens/>
        <w:ind w:left="0" w:firstLine="0"/>
        <w:rPr>
          <w:color w:val="000000"/>
          <w:lang w:val="uk-UA"/>
        </w:rPr>
      </w:pPr>
      <w:r w:rsidRPr="0088636D">
        <w:rPr>
          <w:color w:val="000000"/>
          <w:lang w:val="uk-UA"/>
        </w:rPr>
        <w:t>лекційна аудиторія (очна форма навчання)</w:t>
      </w:r>
    </w:p>
    <w:p w:rsidR="0088636D" w:rsidRPr="0088636D" w:rsidRDefault="0088636D" w:rsidP="0088636D">
      <w:pPr>
        <w:pStyle w:val="a8"/>
        <w:numPr>
          <w:ilvl w:val="0"/>
          <w:numId w:val="3"/>
        </w:numPr>
        <w:tabs>
          <w:tab w:val="clear" w:pos="1800"/>
          <w:tab w:val="num" w:pos="1440"/>
        </w:tabs>
        <w:suppressAutoHyphens/>
        <w:ind w:left="0" w:firstLine="0"/>
        <w:rPr>
          <w:color w:val="000000"/>
          <w:lang w:val="uk-UA"/>
        </w:rPr>
      </w:pPr>
      <w:r w:rsidRPr="0088636D">
        <w:rPr>
          <w:color w:val="000000"/>
          <w:lang w:val="uk-UA"/>
        </w:rPr>
        <w:t>навчальний клас на платформі MS Teams (дистанційна форма навчання)</w:t>
      </w:r>
    </w:p>
    <w:p w:rsidR="0088636D" w:rsidRPr="0088636D" w:rsidRDefault="0088636D" w:rsidP="0088636D">
      <w:pPr>
        <w:numPr>
          <w:ilvl w:val="0"/>
          <w:numId w:val="3"/>
        </w:numPr>
        <w:spacing w:after="0" w:line="240" w:lineRule="auto"/>
        <w:ind w:left="0" w:firstLine="0"/>
        <w:jc w:val="both"/>
        <w:rPr>
          <w:rFonts w:ascii="Times New Roman" w:hAnsi="Times New Roman" w:cs="Times New Roman"/>
          <w:b/>
          <w:color w:val="000000"/>
          <w:sz w:val="24"/>
          <w:szCs w:val="24"/>
          <w:lang w:val="uk-UA"/>
        </w:rPr>
      </w:pPr>
      <w:r w:rsidRPr="0088636D">
        <w:rPr>
          <w:rFonts w:ascii="Times New Roman" w:hAnsi="Times New Roman" w:cs="Times New Roman"/>
          <w:color w:val="000000"/>
          <w:sz w:val="24"/>
          <w:szCs w:val="24"/>
          <w:lang w:val="uk-UA"/>
        </w:rPr>
        <w:t xml:space="preserve"> </w:t>
      </w:r>
      <w:r w:rsidRPr="0088636D">
        <w:rPr>
          <w:rFonts w:ascii="Times New Roman" w:hAnsi="Times New Roman" w:cs="Times New Roman"/>
          <w:b/>
          <w:color w:val="000000"/>
          <w:sz w:val="24"/>
          <w:szCs w:val="24"/>
          <w:lang w:val="uk-UA"/>
        </w:rPr>
        <w:t>обладнання:</w:t>
      </w:r>
    </w:p>
    <w:p w:rsidR="0088636D" w:rsidRPr="0088636D" w:rsidRDefault="0088636D" w:rsidP="0088636D">
      <w:pPr>
        <w:rPr>
          <w:rFonts w:ascii="Times New Roman" w:hAnsi="Times New Roman" w:cs="Times New Roman"/>
          <w:color w:val="000000"/>
          <w:sz w:val="24"/>
          <w:szCs w:val="24"/>
          <w:lang w:val="uk-UA"/>
        </w:rPr>
      </w:pPr>
      <w:r w:rsidRPr="0088636D">
        <w:rPr>
          <w:rFonts w:ascii="Times New Roman" w:hAnsi="Times New Roman" w:cs="Times New Roman"/>
          <w:color w:val="000000"/>
          <w:sz w:val="24"/>
          <w:szCs w:val="24"/>
          <w:lang w:val="uk-UA"/>
        </w:rPr>
        <w:t>мультимедійний проектор</w:t>
      </w:r>
    </w:p>
    <w:p w:rsidR="0088636D" w:rsidRPr="0088636D" w:rsidRDefault="0088636D" w:rsidP="0088636D">
      <w:pPr>
        <w:numPr>
          <w:ilvl w:val="0"/>
          <w:numId w:val="3"/>
        </w:numPr>
        <w:spacing w:after="0" w:line="240" w:lineRule="auto"/>
        <w:ind w:left="0" w:firstLine="0"/>
        <w:jc w:val="both"/>
        <w:rPr>
          <w:rFonts w:ascii="Times New Roman" w:hAnsi="Times New Roman" w:cs="Times New Roman"/>
          <w:color w:val="000000"/>
          <w:sz w:val="24"/>
          <w:szCs w:val="24"/>
          <w:lang w:val="uk-UA"/>
        </w:rPr>
      </w:pPr>
      <w:r w:rsidRPr="0088636D">
        <w:rPr>
          <w:rFonts w:ascii="Times New Roman" w:hAnsi="Times New Roman" w:cs="Times New Roman"/>
          <w:b/>
          <w:color w:val="000000"/>
          <w:sz w:val="24"/>
          <w:szCs w:val="24"/>
          <w:lang w:val="uk-UA"/>
        </w:rPr>
        <w:t xml:space="preserve"> устаткування:</w:t>
      </w:r>
    </w:p>
    <w:p w:rsidR="0088636D" w:rsidRPr="0088636D" w:rsidRDefault="0088636D" w:rsidP="0088636D">
      <w:pPr>
        <w:rPr>
          <w:rFonts w:ascii="Times New Roman" w:hAnsi="Times New Roman" w:cs="Times New Roman"/>
          <w:color w:val="000000"/>
          <w:sz w:val="24"/>
          <w:szCs w:val="24"/>
          <w:lang w:val="uk-UA"/>
        </w:rPr>
      </w:pPr>
      <w:r w:rsidRPr="0088636D">
        <w:rPr>
          <w:rFonts w:ascii="Times New Roman" w:hAnsi="Times New Roman" w:cs="Times New Roman"/>
          <w:color w:val="000000"/>
          <w:sz w:val="24"/>
          <w:szCs w:val="24"/>
          <w:lang w:val="uk-UA"/>
        </w:rPr>
        <w:t>персональний комп’ютер</w:t>
      </w:r>
    </w:p>
    <w:p w:rsidR="0088636D" w:rsidRPr="0088636D" w:rsidRDefault="0088636D" w:rsidP="0088636D">
      <w:pPr>
        <w:numPr>
          <w:ilvl w:val="0"/>
          <w:numId w:val="3"/>
        </w:numPr>
        <w:spacing w:after="0" w:line="240" w:lineRule="auto"/>
        <w:ind w:left="0" w:firstLine="0"/>
        <w:jc w:val="both"/>
        <w:rPr>
          <w:rFonts w:ascii="Times New Roman" w:hAnsi="Times New Roman" w:cs="Times New Roman"/>
          <w:b/>
          <w:color w:val="000000"/>
          <w:sz w:val="24"/>
          <w:szCs w:val="24"/>
          <w:lang w:val="uk-UA"/>
        </w:rPr>
      </w:pPr>
      <w:r w:rsidRPr="0088636D">
        <w:rPr>
          <w:rFonts w:ascii="Times New Roman" w:hAnsi="Times New Roman" w:cs="Times New Roman"/>
          <w:b/>
          <w:color w:val="000000"/>
          <w:sz w:val="24"/>
          <w:szCs w:val="24"/>
          <w:lang w:val="uk-UA"/>
        </w:rPr>
        <w:t>ілюстративні матеріали:</w:t>
      </w:r>
    </w:p>
    <w:p w:rsidR="0088636D" w:rsidRPr="0088636D" w:rsidRDefault="0088636D" w:rsidP="0088636D">
      <w:pPr>
        <w:pStyle w:val="a8"/>
        <w:numPr>
          <w:ilvl w:val="0"/>
          <w:numId w:val="3"/>
        </w:numPr>
        <w:tabs>
          <w:tab w:val="clear" w:pos="1800"/>
        </w:tabs>
        <w:suppressAutoHyphens/>
        <w:ind w:left="0" w:firstLine="0"/>
        <w:rPr>
          <w:color w:val="000000"/>
          <w:lang w:val="uk-UA"/>
        </w:rPr>
      </w:pPr>
      <w:r w:rsidRPr="0088636D">
        <w:rPr>
          <w:color w:val="000000"/>
          <w:lang w:val="uk-UA"/>
        </w:rPr>
        <w:t>мультимедійна презентація</w:t>
      </w:r>
    </w:p>
    <w:p w:rsidR="0088636D" w:rsidRPr="0088636D" w:rsidRDefault="0088636D" w:rsidP="0088636D">
      <w:pPr>
        <w:pStyle w:val="a7"/>
        <w:spacing w:before="0" w:beforeAutospacing="0" w:after="0" w:afterAutospacing="0"/>
        <w:jc w:val="both"/>
        <w:rPr>
          <w:color w:val="000000"/>
          <w:lang w:val="uk-UA"/>
        </w:rPr>
      </w:pPr>
      <w:r w:rsidRPr="0088636D">
        <w:rPr>
          <w:color w:val="000000"/>
          <w:lang w:val="uk-UA"/>
        </w:rPr>
        <w:t> </w:t>
      </w:r>
    </w:p>
    <w:p w:rsidR="0088636D" w:rsidRPr="0088636D" w:rsidRDefault="0088636D" w:rsidP="0088636D">
      <w:pPr>
        <w:pStyle w:val="a7"/>
        <w:spacing w:before="0" w:beforeAutospacing="0" w:after="0" w:afterAutospacing="0"/>
        <w:rPr>
          <w:color w:val="000000"/>
          <w:lang w:val="uk-UA"/>
        </w:rPr>
      </w:pPr>
      <w:r w:rsidRPr="0088636D">
        <w:rPr>
          <w:b/>
          <w:bCs/>
          <w:color w:val="000000"/>
          <w:lang w:val="uk-UA"/>
        </w:rPr>
        <w:t>Питання для самоконтролю:</w:t>
      </w:r>
    </w:p>
    <w:p w:rsidR="00956B42" w:rsidRPr="00956B42" w:rsidRDefault="00956B42" w:rsidP="008512F9">
      <w:pPr>
        <w:numPr>
          <w:ilvl w:val="0"/>
          <w:numId w:val="22"/>
        </w:numPr>
        <w:suppressAutoHyphens/>
        <w:spacing w:after="0" w:line="240" w:lineRule="auto"/>
        <w:ind w:left="0" w:firstLine="0"/>
        <w:jc w:val="both"/>
        <w:rPr>
          <w:rFonts w:ascii="Times New Roman" w:hAnsi="Times New Roman" w:cs="Times New Roman"/>
          <w:sz w:val="24"/>
          <w:szCs w:val="24"/>
          <w:lang w:val="uk-UA"/>
        </w:rPr>
      </w:pPr>
      <w:r w:rsidRPr="00956B42">
        <w:rPr>
          <w:rFonts w:ascii="Times New Roman" w:hAnsi="Times New Roman" w:cs="Times New Roman"/>
          <w:sz w:val="24"/>
          <w:szCs w:val="24"/>
          <w:lang w:val="uk-UA"/>
        </w:rPr>
        <w:t xml:space="preserve">Критерії економічної безпеки держави. </w:t>
      </w:r>
    </w:p>
    <w:p w:rsidR="00956B42" w:rsidRPr="00956B42" w:rsidRDefault="00956B42" w:rsidP="008512F9">
      <w:pPr>
        <w:numPr>
          <w:ilvl w:val="0"/>
          <w:numId w:val="22"/>
        </w:numPr>
        <w:suppressAutoHyphens/>
        <w:spacing w:after="0" w:line="240" w:lineRule="auto"/>
        <w:ind w:left="0" w:firstLine="0"/>
        <w:jc w:val="both"/>
        <w:rPr>
          <w:rFonts w:ascii="Times New Roman" w:eastAsia="Times New Roman" w:hAnsi="Times New Roman" w:cs="Times New Roman"/>
          <w:sz w:val="24"/>
          <w:szCs w:val="24"/>
          <w:lang w:val="uk-UA" w:eastAsia="ar-SA"/>
        </w:rPr>
      </w:pPr>
      <w:r w:rsidRPr="00956B42">
        <w:rPr>
          <w:rFonts w:ascii="Times New Roman" w:hAnsi="Times New Roman" w:cs="Times New Roman"/>
          <w:sz w:val="24"/>
          <w:szCs w:val="24"/>
          <w:lang w:val="uk-UA"/>
        </w:rPr>
        <w:t>Методика розрахунку індикаторів соціальної безпеки.</w:t>
      </w:r>
    </w:p>
    <w:p w:rsidR="00956B42" w:rsidRPr="00956B42" w:rsidRDefault="00956B42" w:rsidP="008512F9">
      <w:pPr>
        <w:numPr>
          <w:ilvl w:val="0"/>
          <w:numId w:val="22"/>
        </w:numPr>
        <w:suppressAutoHyphens/>
        <w:spacing w:after="0" w:line="240" w:lineRule="auto"/>
        <w:ind w:left="0" w:firstLine="0"/>
        <w:jc w:val="both"/>
        <w:rPr>
          <w:rFonts w:ascii="Times New Roman" w:eastAsia="Times New Roman" w:hAnsi="Times New Roman" w:cs="Times New Roman"/>
          <w:sz w:val="24"/>
          <w:szCs w:val="24"/>
          <w:lang w:val="uk-UA" w:eastAsia="ar-SA"/>
        </w:rPr>
      </w:pPr>
      <w:r w:rsidRPr="00956B42">
        <w:rPr>
          <w:rFonts w:ascii="Times New Roman" w:hAnsi="Times New Roman" w:cs="Times New Roman"/>
          <w:sz w:val="24"/>
          <w:szCs w:val="24"/>
          <w:lang w:val="uk-UA"/>
        </w:rPr>
        <w:t>Безпека лікарських засобів в Україні</w:t>
      </w:r>
    </w:p>
    <w:p w:rsidR="00956B42" w:rsidRPr="00956B42" w:rsidRDefault="00956B42" w:rsidP="008512F9">
      <w:pPr>
        <w:numPr>
          <w:ilvl w:val="0"/>
          <w:numId w:val="22"/>
        </w:numPr>
        <w:suppressAutoHyphens/>
        <w:spacing w:after="0" w:line="240" w:lineRule="auto"/>
        <w:ind w:left="0" w:firstLine="0"/>
        <w:jc w:val="both"/>
        <w:rPr>
          <w:rFonts w:ascii="Times New Roman" w:eastAsia="Times New Roman" w:hAnsi="Times New Roman" w:cs="Times New Roman"/>
          <w:sz w:val="24"/>
          <w:szCs w:val="24"/>
          <w:lang w:val="uk-UA" w:eastAsia="ar-SA"/>
        </w:rPr>
      </w:pPr>
      <w:r w:rsidRPr="00956B42">
        <w:rPr>
          <w:rFonts w:ascii="Times New Roman" w:hAnsi="Times New Roman" w:cs="Times New Roman"/>
          <w:sz w:val="24"/>
          <w:szCs w:val="24"/>
          <w:lang w:val="uk-UA"/>
        </w:rPr>
        <w:lastRenderedPageBreak/>
        <w:t>Система фармаконагляду в Україні.</w:t>
      </w:r>
    </w:p>
    <w:p w:rsidR="00956B42" w:rsidRPr="00956B42" w:rsidRDefault="00956B42" w:rsidP="008512F9">
      <w:pPr>
        <w:numPr>
          <w:ilvl w:val="0"/>
          <w:numId w:val="22"/>
        </w:numPr>
        <w:shd w:val="clear" w:color="auto" w:fill="F8F9FA"/>
        <w:spacing w:after="0" w:line="240" w:lineRule="auto"/>
        <w:ind w:left="0" w:firstLine="0"/>
        <w:rPr>
          <w:rFonts w:ascii="Times New Roman" w:eastAsia="Times New Roman" w:hAnsi="Times New Roman" w:cs="Times New Roman"/>
          <w:color w:val="000000"/>
          <w:sz w:val="24"/>
          <w:szCs w:val="24"/>
          <w:lang w:val="uk-UA" w:eastAsia="uk-UA"/>
        </w:rPr>
      </w:pPr>
      <w:r w:rsidRPr="00956B42">
        <w:rPr>
          <w:rFonts w:ascii="Times New Roman" w:eastAsia="Times New Roman" w:hAnsi="Times New Roman" w:cs="Times New Roman"/>
          <w:color w:val="212529"/>
          <w:sz w:val="24"/>
          <w:szCs w:val="24"/>
          <w:lang w:val="uk-UA" w:eastAsia="uk-UA"/>
        </w:rPr>
        <w:t>Основні показники роботи системи фармаконагляду України за 2020 рік</w:t>
      </w:r>
    </w:p>
    <w:p w:rsidR="00956B42" w:rsidRPr="00956B42" w:rsidRDefault="00956B42" w:rsidP="008512F9">
      <w:pPr>
        <w:numPr>
          <w:ilvl w:val="0"/>
          <w:numId w:val="22"/>
        </w:numPr>
        <w:shd w:val="clear" w:color="auto" w:fill="F8F9FA"/>
        <w:spacing w:after="0" w:line="240" w:lineRule="auto"/>
        <w:ind w:left="0" w:firstLine="0"/>
        <w:rPr>
          <w:rFonts w:ascii="Times New Roman" w:eastAsia="Times New Roman" w:hAnsi="Times New Roman" w:cs="Times New Roman"/>
          <w:color w:val="000000"/>
          <w:sz w:val="24"/>
          <w:szCs w:val="24"/>
          <w:lang w:val="uk-UA" w:eastAsia="uk-UA"/>
        </w:rPr>
      </w:pPr>
      <w:r w:rsidRPr="00956B42">
        <w:rPr>
          <w:rFonts w:ascii="Times New Roman" w:eastAsia="Times New Roman" w:hAnsi="Times New Roman" w:cs="Times New Roman"/>
          <w:color w:val="000000"/>
          <w:sz w:val="24"/>
          <w:szCs w:val="24"/>
          <w:lang w:val="uk-UA" w:eastAsia="uk-UA"/>
        </w:rPr>
        <w:t>Функціональні обов'язки уповноваженої особи, відповідальної за фармаконагляд</w:t>
      </w:r>
    </w:p>
    <w:p w:rsidR="00956B42" w:rsidRPr="00956B42" w:rsidRDefault="00956B42" w:rsidP="008512F9">
      <w:pPr>
        <w:numPr>
          <w:ilvl w:val="0"/>
          <w:numId w:val="22"/>
        </w:numPr>
        <w:shd w:val="clear" w:color="auto" w:fill="F8F9FA"/>
        <w:spacing w:after="0" w:line="240" w:lineRule="auto"/>
        <w:ind w:left="0" w:firstLine="0"/>
        <w:rPr>
          <w:rFonts w:ascii="Times New Roman" w:eastAsia="Times New Roman" w:hAnsi="Times New Roman" w:cs="Times New Roman"/>
          <w:color w:val="000000"/>
          <w:sz w:val="24"/>
          <w:szCs w:val="24"/>
          <w:lang w:val="uk-UA" w:eastAsia="uk-UA"/>
        </w:rPr>
      </w:pPr>
      <w:r w:rsidRPr="00956B42">
        <w:rPr>
          <w:rFonts w:ascii="Times New Roman" w:eastAsia="Times New Roman" w:hAnsi="Times New Roman" w:cs="Times New Roman"/>
          <w:color w:val="000000"/>
          <w:sz w:val="24"/>
          <w:szCs w:val="24"/>
          <w:lang w:val="uk-UA" w:eastAsia="uk-UA"/>
        </w:rPr>
        <w:t xml:space="preserve"> Збір повідомлень про виникнення побічних реакцій</w:t>
      </w:r>
    </w:p>
    <w:p w:rsidR="00956B42" w:rsidRPr="00956B42" w:rsidRDefault="00956B42" w:rsidP="008512F9">
      <w:pPr>
        <w:numPr>
          <w:ilvl w:val="0"/>
          <w:numId w:val="22"/>
        </w:numPr>
        <w:shd w:val="clear" w:color="auto" w:fill="FFFFFF"/>
        <w:spacing w:after="0" w:line="240" w:lineRule="auto"/>
        <w:ind w:left="0" w:firstLine="0"/>
        <w:jc w:val="both"/>
        <w:rPr>
          <w:rFonts w:ascii="Times New Roman" w:eastAsia="Times New Roman" w:hAnsi="Times New Roman" w:cs="Times New Roman"/>
          <w:color w:val="000000"/>
          <w:sz w:val="24"/>
          <w:szCs w:val="24"/>
          <w:lang w:val="uk-UA" w:eastAsia="uk-UA"/>
        </w:rPr>
      </w:pPr>
      <w:r w:rsidRPr="00956B42">
        <w:rPr>
          <w:rFonts w:ascii="Times New Roman" w:eastAsia="Times New Roman" w:hAnsi="Times New Roman" w:cs="Times New Roman"/>
          <w:color w:val="000000"/>
          <w:sz w:val="24"/>
          <w:szCs w:val="24"/>
          <w:lang w:val="uk-UA" w:eastAsia="uk-UA"/>
        </w:rPr>
        <w:t>Приклади ЛЗ, на які були отримані пвідомлення про ПР у поточному році.</w:t>
      </w:r>
    </w:p>
    <w:p w:rsidR="0088636D" w:rsidRPr="0088636D" w:rsidRDefault="0088636D" w:rsidP="0088636D">
      <w:pPr>
        <w:pStyle w:val="a7"/>
        <w:spacing w:before="0" w:beforeAutospacing="0" w:after="0" w:afterAutospacing="0"/>
        <w:rPr>
          <w:color w:val="000000"/>
          <w:lang w:val="uk-UA"/>
        </w:rPr>
      </w:pPr>
    </w:p>
    <w:p w:rsidR="0088636D" w:rsidRPr="00FD60CF" w:rsidRDefault="0088636D" w:rsidP="0088636D">
      <w:pPr>
        <w:pStyle w:val="a7"/>
        <w:spacing w:before="0" w:beforeAutospacing="0" w:after="0" w:afterAutospacing="0"/>
        <w:rPr>
          <w:b/>
          <w:bCs/>
          <w:color w:val="000000"/>
          <w:lang w:val="uk-UA"/>
        </w:rPr>
      </w:pPr>
      <w:r w:rsidRPr="00FD60CF">
        <w:rPr>
          <w:b/>
          <w:bCs/>
          <w:color w:val="000000"/>
          <w:lang w:val="uk-UA"/>
        </w:rPr>
        <w:t>Список використаних джерел:</w:t>
      </w:r>
    </w:p>
    <w:p w:rsidR="00FD60CF" w:rsidRPr="00FD60CF" w:rsidRDefault="00FD60CF" w:rsidP="00FD60CF">
      <w:pPr>
        <w:tabs>
          <w:tab w:val="left" w:pos="0"/>
        </w:tabs>
        <w:jc w:val="both"/>
        <w:rPr>
          <w:rFonts w:ascii="Times New Roman" w:hAnsi="Times New Roman" w:cs="Times New Roman"/>
          <w:b/>
          <w:sz w:val="24"/>
          <w:szCs w:val="24"/>
          <w:lang w:val="uk-UA"/>
        </w:rPr>
      </w:pPr>
      <w:r w:rsidRPr="00FD60CF">
        <w:rPr>
          <w:rFonts w:ascii="Times New Roman" w:hAnsi="Times New Roman" w:cs="Times New Roman"/>
          <w:b/>
          <w:sz w:val="24"/>
          <w:szCs w:val="24"/>
          <w:lang w:val="uk-UA"/>
        </w:rPr>
        <w:t>Основна література:</w:t>
      </w:r>
    </w:p>
    <w:p w:rsidR="00FD60CF" w:rsidRPr="00FD60CF" w:rsidRDefault="00FD60CF" w:rsidP="008512F9">
      <w:pPr>
        <w:pStyle w:val="21"/>
        <w:numPr>
          <w:ilvl w:val="0"/>
          <w:numId w:val="36"/>
        </w:numPr>
        <w:jc w:val="both"/>
        <w:rPr>
          <w:sz w:val="24"/>
          <w:szCs w:val="24"/>
        </w:rPr>
      </w:pPr>
      <w:r w:rsidRPr="00FD60CF">
        <w:rPr>
          <w:sz w:val="24"/>
          <w:szCs w:val="24"/>
          <w:lang w:val="ru-RU"/>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w:t>
      </w:r>
      <w:hyperlink r:id="rId31" w:history="1">
        <w:r w:rsidRPr="00FD60CF">
          <w:rPr>
            <w:rStyle w:val="a6"/>
            <w:sz w:val="24"/>
            <w:szCs w:val="24"/>
            <w:lang w:val="ru-RU"/>
          </w:rPr>
          <w:t>див.</w:t>
        </w:r>
      </w:hyperlink>
    </w:p>
    <w:p w:rsidR="00FD60CF" w:rsidRPr="00FD60CF" w:rsidRDefault="00FD60CF" w:rsidP="008512F9">
      <w:pPr>
        <w:pStyle w:val="21"/>
        <w:numPr>
          <w:ilvl w:val="0"/>
          <w:numId w:val="36"/>
        </w:numPr>
        <w:jc w:val="both"/>
        <w:rPr>
          <w:sz w:val="24"/>
          <w:szCs w:val="24"/>
        </w:rPr>
      </w:pPr>
      <w:r w:rsidRPr="00FD60CF">
        <w:rPr>
          <w:sz w:val="24"/>
          <w:szCs w:val="24"/>
        </w:rPr>
        <w:t xml:space="preserve">Голованова І.А., Бєлікова І.В., Ляхова Н.О. Організація та економіка охорони здоров'я: навч. посіб. – Полтава, 2021, 236 с. </w:t>
      </w:r>
      <w:hyperlink r:id="rId32" w:history="1">
        <w:r w:rsidRPr="00FD60CF">
          <w:rPr>
            <w:rStyle w:val="a6"/>
            <w:sz w:val="24"/>
            <w:szCs w:val="24"/>
          </w:rPr>
          <w:t>див.</w:t>
        </w:r>
      </w:hyperlink>
    </w:p>
    <w:p w:rsidR="00FD60CF" w:rsidRPr="00FD60CF" w:rsidRDefault="00FD60CF" w:rsidP="008512F9">
      <w:pPr>
        <w:pStyle w:val="21"/>
        <w:numPr>
          <w:ilvl w:val="0"/>
          <w:numId w:val="36"/>
        </w:numPr>
        <w:rPr>
          <w:sz w:val="24"/>
          <w:szCs w:val="24"/>
        </w:rPr>
      </w:pPr>
      <w:r w:rsidRPr="00FD60CF">
        <w:rPr>
          <w:sz w:val="24"/>
          <w:szCs w:val="24"/>
        </w:rPr>
        <w:t xml:space="preserve">СТ-Н МОЗУ 42-4.2:2011 Лікарські засоби. Управління ризиками для якості (ICH Q9) </w:t>
      </w:r>
    </w:p>
    <w:p w:rsidR="00FD60CF" w:rsidRPr="00FD60CF" w:rsidRDefault="00FD60CF" w:rsidP="008512F9">
      <w:pPr>
        <w:pStyle w:val="21"/>
        <w:numPr>
          <w:ilvl w:val="0"/>
          <w:numId w:val="36"/>
        </w:numPr>
        <w:jc w:val="both"/>
        <w:rPr>
          <w:sz w:val="24"/>
          <w:szCs w:val="24"/>
        </w:rPr>
      </w:pPr>
      <w:r w:rsidRPr="00FD60CF">
        <w:rPr>
          <w:sz w:val="24"/>
          <w:szCs w:val="24"/>
        </w:rPr>
        <w:t xml:space="preserve">Паліативна допомога : організаційні, фармацевтичні та клінічні аспекти знеболення (навчальний посібник). Київ 2019. 138 с. </w:t>
      </w:r>
      <w:hyperlink r:id="rId33" w:history="1">
        <w:r w:rsidRPr="00FD60CF">
          <w:rPr>
            <w:rStyle w:val="a6"/>
            <w:sz w:val="24"/>
            <w:szCs w:val="24"/>
          </w:rPr>
          <w:t>див.</w:t>
        </w:r>
      </w:hyperlink>
    </w:p>
    <w:p w:rsidR="00FD60CF" w:rsidRPr="00FD60CF" w:rsidRDefault="00FD60CF" w:rsidP="008512F9">
      <w:pPr>
        <w:pStyle w:val="a8"/>
        <w:numPr>
          <w:ilvl w:val="0"/>
          <w:numId w:val="36"/>
        </w:numPr>
        <w:tabs>
          <w:tab w:val="left" w:pos="0"/>
        </w:tabs>
        <w:suppressAutoHyphens/>
        <w:jc w:val="both"/>
      </w:pPr>
      <w:r w:rsidRPr="00FD60CF">
        <w:t xml:space="preserve">Борщ В.І., Рудінська О.В., Кусик Н.Л. Менеджмент та маркетинг в охороні здоровʼя: навчальний посібник. Херсон: Олді+, 2022. 264 с. </w:t>
      </w:r>
    </w:p>
    <w:p w:rsidR="00FD60CF" w:rsidRPr="00FD60CF" w:rsidRDefault="00FD60CF" w:rsidP="008512F9">
      <w:pPr>
        <w:pStyle w:val="a8"/>
        <w:numPr>
          <w:ilvl w:val="0"/>
          <w:numId w:val="36"/>
        </w:numPr>
        <w:tabs>
          <w:tab w:val="left" w:pos="0"/>
        </w:tabs>
        <w:suppressAutoHyphens/>
        <w:jc w:val="both"/>
      </w:pPr>
      <w:r w:rsidRPr="00FD60CF">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FD60CF" w:rsidRPr="00FD60CF" w:rsidRDefault="00FD60CF" w:rsidP="008512F9">
      <w:pPr>
        <w:pStyle w:val="a8"/>
        <w:numPr>
          <w:ilvl w:val="0"/>
          <w:numId w:val="36"/>
        </w:numPr>
        <w:tabs>
          <w:tab w:val="left" w:pos="0"/>
        </w:tabs>
        <w:suppressAutoHyphens/>
        <w:jc w:val="both"/>
      </w:pPr>
      <w:r w:rsidRPr="00FD60CF">
        <w:t>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https://ela.kpi.ua/items/564de540-fd83-4995-b1b4-505e456fc246</w:t>
      </w:r>
    </w:p>
    <w:p w:rsidR="00FD60CF" w:rsidRPr="00FD60CF" w:rsidRDefault="00FD60CF" w:rsidP="00FD60CF">
      <w:pPr>
        <w:pStyle w:val="21"/>
        <w:rPr>
          <w:b/>
          <w:sz w:val="24"/>
          <w:szCs w:val="24"/>
        </w:rPr>
      </w:pPr>
    </w:p>
    <w:p w:rsidR="00FD60CF" w:rsidRPr="00FD60CF" w:rsidRDefault="00FD60CF" w:rsidP="00FD60CF">
      <w:pPr>
        <w:pStyle w:val="21"/>
        <w:ind w:firstLine="360"/>
        <w:rPr>
          <w:b/>
          <w:sz w:val="24"/>
          <w:szCs w:val="24"/>
        </w:rPr>
      </w:pPr>
      <w:r w:rsidRPr="00FD60CF">
        <w:rPr>
          <w:b/>
          <w:sz w:val="24"/>
          <w:szCs w:val="24"/>
        </w:rPr>
        <w:t>Додаткова література:</w:t>
      </w:r>
    </w:p>
    <w:p w:rsidR="00FD60CF" w:rsidRPr="00FD60CF" w:rsidRDefault="00FD60CF" w:rsidP="008512F9">
      <w:pPr>
        <w:pStyle w:val="a8"/>
        <w:numPr>
          <w:ilvl w:val="0"/>
          <w:numId w:val="37"/>
        </w:numPr>
        <w:tabs>
          <w:tab w:val="left" w:pos="0"/>
        </w:tabs>
        <w:suppressAutoHyphens/>
        <w:jc w:val="both"/>
      </w:pPr>
      <w:r w:rsidRPr="00FD60CF">
        <w:t>Фармакоекономіка: навч. посіб. для студ. вищ. навч. закл. ІІІ-ІV рівнів акредитації/ Яковлєва Л. В. та ін.; за ред. Л. В. Яковлєвої. Вінниця: Нова книга, 2017. 207 с.</w:t>
      </w:r>
    </w:p>
    <w:p w:rsidR="00FD60CF" w:rsidRPr="00FD60CF" w:rsidRDefault="00FD60CF" w:rsidP="008512F9">
      <w:pPr>
        <w:pStyle w:val="a8"/>
        <w:numPr>
          <w:ilvl w:val="0"/>
          <w:numId w:val="37"/>
        </w:numPr>
        <w:tabs>
          <w:tab w:val="left" w:pos="0"/>
        </w:tabs>
        <w:suppressAutoHyphens/>
        <w:jc w:val="both"/>
      </w:pPr>
      <w:r w:rsidRPr="00FD60CF">
        <w:t>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w:t>
      </w:r>
      <w:r w:rsidRPr="00FD60CF">
        <w:rPr>
          <w:lang w:val="uk-UA"/>
        </w:rPr>
        <w:t xml:space="preserve"> </w:t>
      </w:r>
      <w:hyperlink r:id="rId34" w:history="1">
        <w:r w:rsidRPr="00FD60CF">
          <w:rPr>
            <w:rStyle w:val="a6"/>
            <w:lang w:val="uk-UA"/>
          </w:rPr>
          <w:t>див.</w:t>
        </w:r>
      </w:hyperlink>
    </w:p>
    <w:p w:rsidR="00FD60CF" w:rsidRPr="00FD60CF" w:rsidRDefault="00FD60CF" w:rsidP="008512F9">
      <w:pPr>
        <w:pStyle w:val="a8"/>
        <w:numPr>
          <w:ilvl w:val="0"/>
          <w:numId w:val="37"/>
        </w:numPr>
        <w:tabs>
          <w:tab w:val="left" w:pos="0"/>
        </w:tabs>
        <w:suppressAutoHyphens/>
        <w:jc w:val="both"/>
      </w:pPr>
      <w:r w:rsidRPr="00FD60CF">
        <w:t>Смірнова Г. В. Регулювання фармацевтичного ринку в контексті</w:t>
      </w:r>
      <w:r w:rsidRPr="00FD60CF">
        <w:rPr>
          <w:lang w:val="uk-UA"/>
        </w:rPr>
        <w:t xml:space="preserve"> </w:t>
      </w:r>
      <w:r w:rsidRPr="00FD60CF">
        <w:t>оптимізації соціального забезпечення населення. Регіональна економіка. 2021. С. 29-34.</w:t>
      </w:r>
      <w:r w:rsidRPr="00FD60CF">
        <w:rPr>
          <w:lang w:val="uk-UA"/>
        </w:rPr>
        <w:t xml:space="preserve"> </w:t>
      </w:r>
      <w:hyperlink r:id="rId35" w:history="1">
        <w:r w:rsidRPr="00FD60CF">
          <w:rPr>
            <w:rStyle w:val="a6"/>
            <w:lang w:val="uk-UA"/>
          </w:rPr>
          <w:t>див.</w:t>
        </w:r>
      </w:hyperlink>
    </w:p>
    <w:p w:rsidR="00FD60CF" w:rsidRPr="00FD60CF" w:rsidRDefault="00FD60CF" w:rsidP="008512F9">
      <w:pPr>
        <w:pStyle w:val="a8"/>
        <w:numPr>
          <w:ilvl w:val="0"/>
          <w:numId w:val="37"/>
        </w:numPr>
        <w:tabs>
          <w:tab w:val="left" w:pos="0"/>
        </w:tabs>
        <w:suppressAutoHyphens/>
        <w:jc w:val="both"/>
      </w:pPr>
      <w:r w:rsidRPr="00FD60CF">
        <w:t>Тарасюк М.Б., Паламар І.В., Орлова Н.М., Головчанська-Пушкар</w:t>
      </w:r>
      <w:r w:rsidRPr="00FD60CF">
        <w:rPr>
          <w:lang w:val="uk-UA"/>
        </w:rPr>
        <w:t xml:space="preserve"> </w:t>
      </w:r>
      <w:r w:rsidRPr="00FD60CF">
        <w:t>С.С., Клименюк В.П., Тодоренко Л.С. Тайм-менеджмент в роботі керівників</w:t>
      </w:r>
      <w:r w:rsidRPr="00FD60CF">
        <w:rPr>
          <w:lang w:val="uk-UA"/>
        </w:rPr>
        <w:t xml:space="preserve"> </w:t>
      </w:r>
      <w:r w:rsidRPr="00FD60CF">
        <w:t>аптечних закладів. Наукові інновації та передові технології. 2024. № 5 (33). С.</w:t>
      </w:r>
      <w:r w:rsidRPr="00FD60CF">
        <w:rPr>
          <w:lang w:val="uk-UA"/>
        </w:rPr>
        <w:t xml:space="preserve"> </w:t>
      </w:r>
      <w:r w:rsidRPr="00FD60CF">
        <w:t>411-424. DOI: https://doi.org/10.52058/2786-5274-2024-5(33)-411-424</w:t>
      </w:r>
    </w:p>
    <w:p w:rsidR="00FD60CF" w:rsidRPr="00FD60CF" w:rsidRDefault="00FD60CF" w:rsidP="008512F9">
      <w:pPr>
        <w:pStyle w:val="a8"/>
        <w:numPr>
          <w:ilvl w:val="0"/>
          <w:numId w:val="37"/>
        </w:numPr>
        <w:tabs>
          <w:tab w:val="left" w:pos="0"/>
        </w:tabs>
        <w:suppressAutoHyphens/>
        <w:jc w:val="both"/>
      </w:pPr>
      <w:r w:rsidRPr="00FD60CF">
        <w:t>Тарасюк М.Б., Байдюк І.А., Паламар І.В., Карпенко І.А., Пірвердієва</w:t>
      </w:r>
      <w:r w:rsidRPr="00FD60CF">
        <w:rPr>
          <w:lang w:val="uk-UA"/>
        </w:rPr>
        <w:t xml:space="preserve"> </w:t>
      </w:r>
      <w:r w:rsidRPr="00FD60CF">
        <w:t>І.С., Ткаченко О.В. Маркетингова діяльність всеукраїнської аптечної мережі</w:t>
      </w:r>
      <w:r w:rsidRPr="00FD60CF">
        <w:rPr>
          <w:lang w:val="uk-UA"/>
        </w:rPr>
        <w:t xml:space="preserve"> </w:t>
      </w:r>
      <w:r w:rsidRPr="00FD60CF">
        <w:t>«Подорожник» м. Вінниця. Вісник Вінницького національного медичного</w:t>
      </w:r>
      <w:r w:rsidRPr="00FD60CF">
        <w:rPr>
          <w:lang w:val="uk-UA"/>
        </w:rPr>
        <w:t xml:space="preserve"> </w:t>
      </w:r>
      <w:r w:rsidRPr="00FD60CF">
        <w:t>університету. 2023. Т. 27. № 4. С. 641-644 DOI: https://doi.org/10.31393/reportsvnmedical-2023-27(4)-19</w:t>
      </w:r>
    </w:p>
    <w:p w:rsidR="00FD60CF" w:rsidRPr="00FD60CF" w:rsidRDefault="00FD60CF" w:rsidP="008512F9">
      <w:pPr>
        <w:pStyle w:val="a8"/>
        <w:numPr>
          <w:ilvl w:val="0"/>
          <w:numId w:val="37"/>
        </w:numPr>
        <w:tabs>
          <w:tab w:val="left" w:pos="0"/>
        </w:tabs>
        <w:suppressAutoHyphens/>
        <w:jc w:val="both"/>
      </w:pPr>
      <w:r w:rsidRPr="00FD60CF">
        <w:lastRenderedPageBreak/>
        <w:t>Ткаченко Н. О., Городецька І. Я., Левицька О. Р. Аналіз підходів до</w:t>
      </w:r>
      <w:r w:rsidRPr="00FD60CF">
        <w:rPr>
          <w:lang w:val="uk-UA"/>
        </w:rPr>
        <w:t xml:space="preserve"> </w:t>
      </w:r>
      <w:r w:rsidRPr="00FD60CF">
        <w:t>складання соціальної звітності фармацевтичних підприємств. Актуальні</w:t>
      </w:r>
      <w:r w:rsidRPr="00FD60CF">
        <w:rPr>
          <w:lang w:val="uk-UA"/>
        </w:rPr>
        <w:t xml:space="preserve"> </w:t>
      </w:r>
      <w:r w:rsidRPr="00FD60CF">
        <w:t>питання фармацевтичної і медичної науки та практики. 2023. Т. 16, № 2. С. 186-193.</w:t>
      </w:r>
    </w:p>
    <w:p w:rsidR="00FD60CF" w:rsidRPr="00FD60CF" w:rsidRDefault="00FD60CF" w:rsidP="008512F9">
      <w:pPr>
        <w:pStyle w:val="a8"/>
        <w:numPr>
          <w:ilvl w:val="0"/>
          <w:numId w:val="37"/>
        </w:numPr>
        <w:tabs>
          <w:tab w:val="left" w:pos="0"/>
        </w:tabs>
        <w:suppressAutoHyphens/>
        <w:jc w:val="both"/>
      </w:pPr>
      <w:r w:rsidRPr="00FD60CF">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FD60CF" w:rsidRPr="00FD60CF" w:rsidRDefault="00FD60CF" w:rsidP="008512F9">
      <w:pPr>
        <w:pStyle w:val="a8"/>
        <w:numPr>
          <w:ilvl w:val="0"/>
          <w:numId w:val="37"/>
        </w:numPr>
        <w:tabs>
          <w:tab w:val="left" w:pos="0"/>
        </w:tabs>
        <w:suppressAutoHyphens/>
        <w:jc w:val="both"/>
      </w:pPr>
      <w:r w:rsidRPr="00FD60CF">
        <w:rPr>
          <w:lang w:val="uk-UA"/>
        </w:rPr>
        <w:t xml:space="preserve">Аналіз </w:t>
      </w:r>
      <w:r w:rsidRPr="00FD60CF">
        <w:t xml:space="preserve">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FD60CF" w:rsidRPr="00FD60CF" w:rsidRDefault="00FD60CF" w:rsidP="00FD60CF">
      <w:pPr>
        <w:ind w:left="-142" w:firstLine="851"/>
        <w:jc w:val="both"/>
        <w:rPr>
          <w:rFonts w:ascii="Times New Roman" w:hAnsi="Times New Roman" w:cs="Times New Roman"/>
          <w:b/>
          <w:sz w:val="24"/>
          <w:szCs w:val="24"/>
          <w:lang w:val="uk-UA"/>
        </w:rPr>
      </w:pPr>
    </w:p>
    <w:p w:rsidR="00FD60CF" w:rsidRPr="00FD60CF" w:rsidRDefault="00FD60CF" w:rsidP="00FD60CF">
      <w:pPr>
        <w:jc w:val="center"/>
        <w:rPr>
          <w:rFonts w:ascii="Times New Roman" w:hAnsi="Times New Roman" w:cs="Times New Roman"/>
          <w:b/>
          <w:sz w:val="24"/>
          <w:szCs w:val="24"/>
          <w:lang w:val="uk-UA"/>
        </w:rPr>
      </w:pPr>
      <w:r w:rsidRPr="00FD60CF">
        <w:rPr>
          <w:rFonts w:ascii="Times New Roman" w:hAnsi="Times New Roman" w:cs="Times New Roman"/>
          <w:b/>
          <w:sz w:val="24"/>
          <w:szCs w:val="24"/>
          <w:lang w:val="uk-UA"/>
        </w:rPr>
        <w:t>13. ЕЛЕКТРОННІ ІНФОРМАЦІЙНІ РЕСУРСИ</w:t>
      </w:r>
    </w:p>
    <w:p w:rsidR="00FD60CF" w:rsidRPr="00FD60CF" w:rsidRDefault="00FD60CF" w:rsidP="008512F9">
      <w:pPr>
        <w:pStyle w:val="a8"/>
        <w:numPr>
          <w:ilvl w:val="0"/>
          <w:numId w:val="38"/>
        </w:numPr>
        <w:suppressAutoHyphens/>
        <w:spacing w:before="7"/>
        <w:ind w:right="32"/>
        <w:jc w:val="both"/>
        <w:rPr>
          <w:lang w:val="uk-UA"/>
        </w:rPr>
      </w:pPr>
      <w:r w:rsidRPr="00FD60CF">
        <w:rPr>
          <w:lang w:val="uk-UA"/>
        </w:rPr>
        <w:t xml:space="preserve">Законодавство України [Електронний ресурс]. - Режим доступу:  </w:t>
      </w:r>
      <w:hyperlink r:id="rId36" w:history="1">
        <w:r w:rsidRPr="00FD60CF">
          <w:rPr>
            <w:rStyle w:val="a6"/>
            <w:lang w:val="uk-UA"/>
          </w:rPr>
          <w:t>https://zakon.rada.gov.ua/laws/show/</w:t>
        </w:r>
      </w:hyperlink>
    </w:p>
    <w:p w:rsidR="00FD60CF" w:rsidRPr="00FD60CF" w:rsidRDefault="00FD60CF" w:rsidP="008512F9">
      <w:pPr>
        <w:pStyle w:val="a8"/>
        <w:numPr>
          <w:ilvl w:val="0"/>
          <w:numId w:val="38"/>
        </w:numPr>
        <w:suppressAutoHyphens/>
        <w:spacing w:before="7"/>
        <w:ind w:right="32"/>
        <w:jc w:val="both"/>
        <w:rPr>
          <w:lang w:val="uk-UA"/>
        </w:rPr>
      </w:pPr>
      <w:r w:rsidRPr="00FD60CF">
        <w:rPr>
          <w:lang w:val="uk-UA"/>
        </w:rPr>
        <w:t xml:space="preserve">Міністерство охорони здоров’я України [Електронний ресурс]. - Режим доступу: </w:t>
      </w:r>
      <w:r w:rsidRPr="00FD60CF">
        <w:t xml:space="preserve"> </w:t>
      </w:r>
      <w:hyperlink r:id="rId37" w:history="1">
        <w:r w:rsidRPr="00FD60CF">
          <w:rPr>
            <w:rStyle w:val="a6"/>
            <w:lang w:val="uk-UA"/>
          </w:rPr>
          <w:t>https://moz.gov.ua/</w:t>
        </w:r>
      </w:hyperlink>
    </w:p>
    <w:p w:rsidR="00FD60CF" w:rsidRPr="00FD60CF" w:rsidRDefault="00FD60CF" w:rsidP="008512F9">
      <w:pPr>
        <w:pStyle w:val="a8"/>
        <w:numPr>
          <w:ilvl w:val="0"/>
          <w:numId w:val="38"/>
        </w:numPr>
        <w:suppressAutoHyphens/>
        <w:spacing w:before="7"/>
        <w:ind w:right="32"/>
        <w:jc w:val="both"/>
        <w:rPr>
          <w:lang w:val="uk-UA"/>
        </w:rPr>
      </w:pPr>
      <w:r w:rsidRPr="00FD60CF">
        <w:rPr>
          <w:lang w:val="uk-UA"/>
        </w:rPr>
        <w:t>Державна служба України з лікарських засобів та контролю за наркотиками (Держлікслужба)</w:t>
      </w:r>
      <w:r w:rsidRPr="00FD60CF">
        <w:rPr>
          <w:color w:val="1D1D1B"/>
          <w:shd w:val="clear" w:color="auto" w:fill="FFFFFF"/>
        </w:rPr>
        <w:t> </w:t>
      </w:r>
      <w:hyperlink r:id="rId38" w:history="1">
        <w:r w:rsidRPr="00FD60CF">
          <w:rPr>
            <w:rStyle w:val="a6"/>
            <w:lang w:val="uk-UA"/>
          </w:rPr>
          <w:t>https://www.dls.gov.ua/</w:t>
        </w:r>
      </w:hyperlink>
    </w:p>
    <w:p w:rsidR="00FD60CF" w:rsidRPr="00FD60CF" w:rsidRDefault="00FD60CF" w:rsidP="008512F9">
      <w:pPr>
        <w:pStyle w:val="a8"/>
        <w:numPr>
          <w:ilvl w:val="0"/>
          <w:numId w:val="38"/>
        </w:numPr>
        <w:suppressAutoHyphens/>
        <w:spacing w:before="7"/>
        <w:ind w:right="32"/>
        <w:jc w:val="both"/>
        <w:rPr>
          <w:lang w:val="uk-UA"/>
        </w:rPr>
      </w:pPr>
      <w:r w:rsidRPr="00FD60CF">
        <w:rPr>
          <w:lang w:val="uk-UA"/>
        </w:rPr>
        <w:t xml:space="preserve">Державний експертний центр МОЗ України </w:t>
      </w:r>
      <w:hyperlink r:id="rId39" w:history="1">
        <w:r w:rsidRPr="00FD60CF">
          <w:rPr>
            <w:rStyle w:val="a6"/>
            <w:lang w:val="uk-UA"/>
          </w:rPr>
          <w:t>https://www.dec.gov.ua/</w:t>
        </w:r>
      </w:hyperlink>
    </w:p>
    <w:p w:rsidR="00FD60CF" w:rsidRPr="00FD60CF" w:rsidRDefault="00FD60CF" w:rsidP="008512F9">
      <w:pPr>
        <w:pStyle w:val="a8"/>
        <w:numPr>
          <w:ilvl w:val="0"/>
          <w:numId w:val="38"/>
        </w:numPr>
        <w:suppressAutoHyphens/>
        <w:spacing w:before="7"/>
        <w:ind w:right="32"/>
        <w:jc w:val="both"/>
        <w:rPr>
          <w:lang w:val="uk-UA"/>
        </w:rPr>
      </w:pPr>
      <w:r w:rsidRPr="00FD60CF">
        <w:rPr>
          <w:lang w:val="uk-UA"/>
        </w:rPr>
        <w:t xml:space="preserve">Державний формуляр ЛЗ </w:t>
      </w:r>
      <w:hyperlink r:id="rId40" w:history="1">
        <w:r w:rsidRPr="00FD60CF">
          <w:rPr>
            <w:rStyle w:val="a6"/>
            <w:lang w:val="uk-UA"/>
          </w:rPr>
          <w:t>https://www.dec.gov.ua/materials/chinnij-vipusk-derzhavnogo-formulyara-likarskih-zasobiv/?role=ua</w:t>
        </w:r>
      </w:hyperlink>
    </w:p>
    <w:p w:rsidR="00FD60CF" w:rsidRPr="00FD60CF" w:rsidRDefault="00FD60CF" w:rsidP="008512F9">
      <w:pPr>
        <w:pStyle w:val="21"/>
        <w:numPr>
          <w:ilvl w:val="0"/>
          <w:numId w:val="38"/>
        </w:numPr>
        <w:jc w:val="both"/>
        <w:rPr>
          <w:sz w:val="24"/>
          <w:szCs w:val="24"/>
        </w:rPr>
      </w:pPr>
      <w:r w:rsidRPr="00FD60CF">
        <w:rPr>
          <w:sz w:val="24"/>
          <w:szCs w:val="24"/>
        </w:rPr>
        <w:t xml:space="preserve">Державний реєстр лікарських засобів України. [Електронний ресурс]. – Режим доступу: </w:t>
      </w:r>
      <w:hyperlink r:id="rId41" w:history="1">
        <w:r w:rsidRPr="00FD60CF">
          <w:rPr>
            <w:rStyle w:val="a6"/>
            <w:sz w:val="24"/>
            <w:szCs w:val="24"/>
          </w:rPr>
          <w:t>http://www.drlz.com.ua/ibp/ddsite.nsf/all/shlist?opendocument</w:t>
        </w:r>
      </w:hyperlink>
    </w:p>
    <w:p w:rsidR="00FD60CF" w:rsidRPr="00FD60CF" w:rsidRDefault="00FD60CF" w:rsidP="008512F9">
      <w:pPr>
        <w:pStyle w:val="21"/>
        <w:numPr>
          <w:ilvl w:val="0"/>
          <w:numId w:val="38"/>
        </w:numPr>
        <w:jc w:val="both"/>
        <w:rPr>
          <w:sz w:val="24"/>
          <w:szCs w:val="24"/>
        </w:rPr>
      </w:pPr>
      <w:r w:rsidRPr="00FD60CF">
        <w:rPr>
          <w:sz w:val="24"/>
          <w:szCs w:val="24"/>
        </w:rPr>
        <w:t>Compendium online. [Електронний ресурс]. – Режим доступу:</w:t>
      </w:r>
      <w:r w:rsidRPr="00FD60CF">
        <w:rPr>
          <w:sz w:val="24"/>
          <w:szCs w:val="24"/>
        </w:rPr>
        <w:br/>
      </w:r>
      <w:hyperlink r:id="rId42" w:history="1">
        <w:r w:rsidRPr="00FD60CF">
          <w:rPr>
            <w:rStyle w:val="a6"/>
            <w:sz w:val="24"/>
            <w:szCs w:val="24"/>
          </w:rPr>
          <w:t>https://compendium.com.ua/uk/</w:t>
        </w:r>
      </w:hyperlink>
      <w:r w:rsidRPr="00FD60CF">
        <w:rPr>
          <w:sz w:val="24"/>
          <w:szCs w:val="24"/>
        </w:rPr>
        <w:t xml:space="preserve"> </w:t>
      </w:r>
    </w:p>
    <w:p w:rsidR="00FD60CF" w:rsidRPr="00FD60CF" w:rsidRDefault="00FD60CF" w:rsidP="008512F9">
      <w:pPr>
        <w:pStyle w:val="21"/>
        <w:numPr>
          <w:ilvl w:val="0"/>
          <w:numId w:val="38"/>
        </w:numPr>
        <w:jc w:val="both"/>
        <w:rPr>
          <w:sz w:val="24"/>
          <w:szCs w:val="24"/>
        </w:rPr>
      </w:pPr>
      <w:r w:rsidRPr="00FD60CF">
        <w:rPr>
          <w:sz w:val="24"/>
          <w:szCs w:val="24"/>
        </w:rPr>
        <w:t>Щотижневик «Аптека» [Електронний ресурс]. – Режим доступу:</w:t>
      </w:r>
      <w:r w:rsidRPr="00FD60CF">
        <w:rPr>
          <w:sz w:val="24"/>
          <w:szCs w:val="24"/>
        </w:rPr>
        <w:br/>
      </w:r>
      <w:hyperlink r:id="rId43" w:history="1">
        <w:r w:rsidRPr="00FD60CF">
          <w:rPr>
            <w:rStyle w:val="a6"/>
            <w:sz w:val="24"/>
            <w:szCs w:val="24"/>
          </w:rPr>
          <w:t>https://www.apteka.ua/</w:t>
        </w:r>
      </w:hyperlink>
    </w:p>
    <w:p w:rsidR="00FD60CF" w:rsidRPr="00FD60CF" w:rsidRDefault="00FD60CF" w:rsidP="008512F9">
      <w:pPr>
        <w:pStyle w:val="21"/>
        <w:widowControl w:val="0"/>
        <w:numPr>
          <w:ilvl w:val="0"/>
          <w:numId w:val="38"/>
        </w:numPr>
        <w:jc w:val="both"/>
        <w:rPr>
          <w:sz w:val="24"/>
          <w:szCs w:val="24"/>
        </w:rPr>
      </w:pPr>
      <w:r w:rsidRPr="00FD60CF">
        <w:rPr>
          <w:sz w:val="24"/>
          <w:szCs w:val="24"/>
        </w:rPr>
        <w:t xml:space="preserve">Пошукова база ліків [Електронний ресурс]. – Режим доступу: </w:t>
      </w:r>
      <w:hyperlink r:id="rId44" w:history="1">
        <w:r w:rsidRPr="00FD60CF">
          <w:rPr>
            <w:rStyle w:val="a6"/>
            <w:sz w:val="24"/>
            <w:szCs w:val="24"/>
          </w:rPr>
          <w:t>https://tabletki.ua/</w:t>
        </w:r>
      </w:hyperlink>
    </w:p>
    <w:p w:rsidR="00FD60CF" w:rsidRPr="00FD60CF" w:rsidRDefault="00FD60CF" w:rsidP="008512F9">
      <w:pPr>
        <w:pStyle w:val="21"/>
        <w:widowControl w:val="0"/>
        <w:numPr>
          <w:ilvl w:val="0"/>
          <w:numId w:val="38"/>
        </w:numPr>
        <w:jc w:val="both"/>
        <w:rPr>
          <w:sz w:val="24"/>
          <w:szCs w:val="24"/>
        </w:rPr>
      </w:pPr>
      <w:r w:rsidRPr="00FD60CF">
        <w:rPr>
          <w:sz w:val="24"/>
          <w:szCs w:val="24"/>
        </w:rPr>
        <w:t>Пошукова база ліків [Електронний ресурс]. – Режим доступу:</w:t>
      </w:r>
      <w:r w:rsidRPr="00FD60CF">
        <w:rPr>
          <w:sz w:val="24"/>
          <w:szCs w:val="24"/>
        </w:rPr>
        <w:br/>
      </w:r>
      <w:hyperlink r:id="rId45" w:history="1">
        <w:r w:rsidRPr="00FD60CF">
          <w:rPr>
            <w:rStyle w:val="a6"/>
            <w:sz w:val="24"/>
            <w:szCs w:val="24"/>
          </w:rPr>
          <w:t>https://likicontrol.com.ua/</w:t>
        </w:r>
      </w:hyperlink>
    </w:p>
    <w:p w:rsidR="00FD60CF" w:rsidRPr="00FD60CF" w:rsidRDefault="00FD60CF" w:rsidP="008512F9">
      <w:pPr>
        <w:pStyle w:val="21"/>
        <w:widowControl w:val="0"/>
        <w:numPr>
          <w:ilvl w:val="0"/>
          <w:numId w:val="38"/>
        </w:numPr>
        <w:jc w:val="both"/>
        <w:rPr>
          <w:sz w:val="24"/>
          <w:szCs w:val="24"/>
        </w:rPr>
      </w:pPr>
      <w:r w:rsidRPr="00FD60CF">
        <w:rPr>
          <w:sz w:val="24"/>
          <w:szCs w:val="24"/>
        </w:rPr>
        <w:t>Rx.ua —</w:t>
      </w:r>
      <w:hyperlink r:id="rId46" w:history="1">
        <w:r w:rsidRPr="00FD60CF">
          <w:rPr>
            <w:rStyle w:val="a6"/>
            <w:sz w:val="24"/>
            <w:szCs w:val="24"/>
          </w:rPr>
          <w:t>довідник еквівалентності лікарських засобів</w:t>
        </w:r>
      </w:hyperlink>
      <w:r w:rsidRPr="00FD60CF">
        <w:rPr>
          <w:sz w:val="24"/>
          <w:szCs w:val="24"/>
        </w:rPr>
        <w:t xml:space="preserve"> [Електронний ресурс]. – Режим доступу:</w:t>
      </w:r>
      <w:r w:rsidRPr="00FD60CF">
        <w:rPr>
          <w:color w:val="000000"/>
          <w:sz w:val="24"/>
          <w:szCs w:val="24"/>
          <w:shd w:val="clear" w:color="auto" w:fill="FFFFFF"/>
        </w:rPr>
        <w:t> </w:t>
      </w:r>
      <w:hyperlink r:id="rId47" w:history="1">
        <w:r w:rsidRPr="00FD60CF">
          <w:rPr>
            <w:rStyle w:val="a6"/>
            <w:sz w:val="24"/>
            <w:szCs w:val="24"/>
            <w:shd w:val="clear" w:color="auto" w:fill="FFFFFF"/>
          </w:rPr>
          <w:t>https://rx.ua/</w:t>
        </w:r>
      </w:hyperlink>
    </w:p>
    <w:p w:rsidR="00FD60CF" w:rsidRPr="00FD60CF" w:rsidRDefault="00FD60CF" w:rsidP="00FD60CF">
      <w:pPr>
        <w:widowControl w:val="0"/>
        <w:jc w:val="both"/>
        <w:rPr>
          <w:rFonts w:ascii="Times New Roman" w:eastAsia="Calibri" w:hAnsi="Times New Roman" w:cs="Times New Roman"/>
          <w:bCs/>
          <w:sz w:val="24"/>
          <w:szCs w:val="24"/>
          <w:lang w:val="uk-UA" w:eastAsia="ru-RU"/>
        </w:rPr>
      </w:pPr>
    </w:p>
    <w:p w:rsidR="0088636D" w:rsidRPr="0088636D" w:rsidRDefault="0088636D" w:rsidP="0088636D">
      <w:pPr>
        <w:spacing w:before="7"/>
        <w:ind w:right="32"/>
        <w:jc w:val="both"/>
        <w:rPr>
          <w:rFonts w:ascii="Times New Roman" w:hAnsi="Times New Roman" w:cs="Times New Roman"/>
          <w:b/>
          <w:sz w:val="24"/>
          <w:szCs w:val="24"/>
          <w:lang w:val="uk-UA"/>
        </w:rPr>
      </w:pPr>
      <w:r w:rsidRPr="0088636D">
        <w:rPr>
          <w:rFonts w:ascii="Times New Roman" w:hAnsi="Times New Roman" w:cs="Times New Roman"/>
          <w:b/>
          <w:sz w:val="24"/>
          <w:szCs w:val="24"/>
          <w:lang w:val="uk-UA"/>
        </w:rPr>
        <w:t>Лекція 3</w:t>
      </w:r>
    </w:p>
    <w:p w:rsidR="0088636D" w:rsidRPr="0088636D" w:rsidRDefault="0088636D" w:rsidP="0088636D">
      <w:pPr>
        <w:tabs>
          <w:tab w:val="left" w:pos="3584"/>
        </w:tabs>
        <w:suppressAutoHyphens/>
        <w:spacing w:after="0" w:line="240" w:lineRule="auto"/>
        <w:jc w:val="both"/>
        <w:rPr>
          <w:rFonts w:ascii="Times New Roman" w:eastAsia="Times New Roman" w:hAnsi="Times New Roman" w:cs="Times New Roman"/>
          <w:color w:val="0D0D0D"/>
          <w:sz w:val="24"/>
          <w:szCs w:val="24"/>
          <w:lang w:eastAsia="ar-SA"/>
        </w:rPr>
      </w:pPr>
      <w:r w:rsidRPr="0088636D">
        <w:rPr>
          <w:rFonts w:ascii="Times New Roman" w:eastAsia="Times New Roman" w:hAnsi="Times New Roman" w:cs="Times New Roman"/>
          <w:b/>
          <w:bCs/>
          <w:color w:val="0D0D0D"/>
          <w:sz w:val="24"/>
          <w:szCs w:val="24"/>
          <w:lang w:val="uk-UA" w:eastAsia="ar-SA"/>
        </w:rPr>
        <w:t>Тема:</w:t>
      </w:r>
      <w:r w:rsidRPr="0088636D">
        <w:rPr>
          <w:rFonts w:ascii="Times New Roman" w:eastAsia="Times New Roman" w:hAnsi="Times New Roman" w:cs="Times New Roman"/>
          <w:color w:val="0D0D0D"/>
          <w:sz w:val="24"/>
          <w:szCs w:val="24"/>
          <w:lang w:val="uk-UA" w:eastAsia="ar-SA"/>
        </w:rPr>
        <w:t xml:space="preserve"> </w:t>
      </w:r>
      <w:r w:rsidRPr="0088636D">
        <w:rPr>
          <w:rFonts w:ascii="Times New Roman" w:eastAsia="Times New Roman" w:hAnsi="Times New Roman" w:cs="Times New Roman"/>
          <w:color w:val="0D0D0D"/>
          <w:sz w:val="24"/>
          <w:szCs w:val="24"/>
          <w:lang w:eastAsia="ar-SA"/>
        </w:rPr>
        <w:t>Нормативно-правове регулювання дотримання професійних прав та забезпечення пільг для фармацевтичних працівників. Державні соціальні гарантії у сфері доходів населення.</w:t>
      </w:r>
    </w:p>
    <w:p w:rsidR="0088636D" w:rsidRPr="0088636D" w:rsidRDefault="0088636D" w:rsidP="0088636D">
      <w:pPr>
        <w:shd w:val="clear" w:color="auto" w:fill="FFFFFF"/>
        <w:spacing w:after="15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hd w:val="clear" w:color="auto" w:fill="FFFFFF"/>
        <w:spacing w:after="150" w:line="240" w:lineRule="auto"/>
        <w:jc w:val="both"/>
        <w:rPr>
          <w:rFonts w:ascii="Times New Roman" w:eastAsia="Times New Roman" w:hAnsi="Times New Roman" w:cs="Times New Roman"/>
          <w:color w:val="0D0D0D"/>
          <w:sz w:val="24"/>
          <w:szCs w:val="24"/>
          <w:lang w:val="uk-UA" w:eastAsia="ar-SA"/>
        </w:rPr>
      </w:pPr>
      <w:r w:rsidRPr="0088636D">
        <w:rPr>
          <w:rFonts w:ascii="Times New Roman" w:eastAsia="Times New Roman" w:hAnsi="Times New Roman" w:cs="Times New Roman"/>
          <w:b/>
          <w:sz w:val="24"/>
          <w:szCs w:val="24"/>
          <w:lang w:val="uk-UA" w:eastAsia="ru-RU"/>
        </w:rPr>
        <w:t>Актуальність теми.</w:t>
      </w:r>
      <w:r w:rsidRPr="0088636D">
        <w:rPr>
          <w:rFonts w:ascii="Times New Roman" w:eastAsia="Times New Roman" w:hAnsi="Times New Roman" w:cs="Times New Roman"/>
          <w:sz w:val="24"/>
          <w:szCs w:val="24"/>
          <w:lang w:val="uk-UA" w:eastAsia="ru-RU"/>
        </w:rPr>
        <w:t xml:space="preserve"> </w:t>
      </w:r>
      <w:r w:rsidRPr="0088636D">
        <w:rPr>
          <w:rFonts w:ascii="Times New Roman" w:eastAsia="Times New Roman" w:hAnsi="Times New Roman" w:cs="Times New Roman"/>
          <w:color w:val="0D0D0D"/>
          <w:sz w:val="24"/>
          <w:szCs w:val="24"/>
          <w:lang w:val="uk-UA" w:eastAsia="ar-SA"/>
        </w:rPr>
        <w:t>В Україні трансформація суспільно-економічної системи у напрямі формування демократичної держави і ринкових відносин докорінно вплинула на зміну інституційної моделі забезпечення професійних прав працівників окремих галузей економіки. Це також стосується і професійних прав фармацевтичних працівників. Так, Основи законодавства України про охорону здоров’я (ст. 77) закріпили право фармацевтичних працівників на особливі умови соціального захисту і встановили систему державних гарантій здійснення цих прав.</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sz w:val="24"/>
          <w:szCs w:val="24"/>
          <w:lang w:val="uk-UA" w:eastAsia="ar-SA"/>
        </w:rPr>
        <w:t xml:space="preserve"> Мета</w:t>
      </w:r>
      <w:r w:rsidRPr="0088636D">
        <w:rPr>
          <w:rFonts w:ascii="Times New Roman" w:eastAsia="Times New Roman" w:hAnsi="Times New Roman" w:cs="Times New Roman"/>
          <w:sz w:val="24"/>
          <w:szCs w:val="24"/>
          <w:lang w:val="uk-UA" w:eastAsia="ar-SA"/>
        </w:rPr>
        <w:t>:   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hd w:val="clear" w:color="auto" w:fill="FFFFFF"/>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b/>
          <w:sz w:val="24"/>
          <w:szCs w:val="24"/>
          <w:lang w:val="uk-UA" w:eastAsia="ru-RU"/>
        </w:rPr>
        <w:lastRenderedPageBreak/>
        <w:t xml:space="preserve">Основні поняття: </w:t>
      </w:r>
      <w:r w:rsidRPr="0088636D">
        <w:rPr>
          <w:rFonts w:ascii="Times New Roman" w:eastAsia="Times New Roman" w:hAnsi="Times New Roman" w:cs="Times New Roman"/>
          <w:sz w:val="24"/>
          <w:szCs w:val="24"/>
          <w:lang w:val="uk-UA" w:eastAsia="ru-RU"/>
        </w:rPr>
        <w:t>соціальна фармація</w:t>
      </w:r>
      <w:r w:rsidRPr="0088636D">
        <w:rPr>
          <w:rFonts w:ascii="Times New Roman" w:eastAsia="Times New Roman" w:hAnsi="Times New Roman" w:cs="Times New Roman"/>
          <w:b/>
          <w:sz w:val="24"/>
          <w:szCs w:val="24"/>
          <w:lang w:val="uk-UA" w:eastAsia="ru-RU"/>
        </w:rPr>
        <w:t xml:space="preserve">; </w:t>
      </w:r>
      <w:r w:rsidRPr="0088636D">
        <w:rPr>
          <w:rFonts w:ascii="Times New Roman" w:eastAsia="Calibri" w:hAnsi="Times New Roman" w:cs="Times New Roman"/>
          <w:sz w:val="24"/>
          <w:szCs w:val="24"/>
          <w:lang w:val="uk-UA"/>
        </w:rPr>
        <w:t xml:space="preserve">система охорони здоров'я; соціальні пільги та права; </w:t>
      </w:r>
      <w:r w:rsidRPr="0088636D">
        <w:rPr>
          <w:rFonts w:ascii="Times New Roman" w:eastAsia="Times New Roman" w:hAnsi="Times New Roman" w:cs="Times New Roman"/>
          <w:bCs/>
          <w:color w:val="000000"/>
          <w:sz w:val="24"/>
          <w:szCs w:val="24"/>
          <w:lang w:val="uk-UA" w:eastAsia="uk-UA"/>
        </w:rPr>
        <w:t xml:space="preserve">Державні соціальні стандарти; </w:t>
      </w:r>
      <w:r w:rsidRPr="0088636D">
        <w:rPr>
          <w:rFonts w:ascii="Times New Roman" w:eastAsia="Times New Roman" w:hAnsi="Times New Roman" w:cs="Times New Roman"/>
          <w:sz w:val="24"/>
          <w:szCs w:val="24"/>
          <w:lang w:val="uk-UA" w:eastAsia="ru-RU"/>
        </w:rPr>
        <w:t>прожитковий мінімум, мінімальна заробітна плата</w:t>
      </w: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План та організаційна структура лекції.</w:t>
      </w:r>
    </w:p>
    <w:tbl>
      <w:tblPr>
        <w:tblW w:w="0" w:type="auto"/>
        <w:tblInd w:w="-5" w:type="dxa"/>
        <w:tblLayout w:type="fixed"/>
        <w:tblLook w:val="0000" w:firstRow="0" w:lastRow="0" w:firstColumn="0" w:lastColumn="0" w:noHBand="0" w:noVBand="0"/>
      </w:tblPr>
      <w:tblGrid>
        <w:gridCol w:w="827"/>
        <w:gridCol w:w="4531"/>
        <w:gridCol w:w="1559"/>
        <w:gridCol w:w="1701"/>
        <w:gridCol w:w="1276"/>
      </w:tblGrid>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w:t>
            </w:r>
          </w:p>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п.п.</w:t>
            </w:r>
          </w:p>
        </w:tc>
        <w:tc>
          <w:tcPr>
            <w:tcW w:w="453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Основні  етапи лекції та їх зміст</w:t>
            </w:r>
          </w:p>
        </w:tc>
        <w:tc>
          <w:tcPr>
            <w:tcW w:w="1559"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Цілі у ступенях абстракції</w:t>
            </w:r>
          </w:p>
        </w:tc>
        <w:tc>
          <w:tcPr>
            <w:tcW w:w="170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Тип лекції. Обладнання лекції.</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Розподіл часу</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1.</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ІІ.</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3.</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ІІІ.</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5.</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6.</w:t>
            </w:r>
          </w:p>
        </w:tc>
        <w:tc>
          <w:tcPr>
            <w:tcW w:w="453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Підготовчий етап.</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Визначення навчальної мети.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Забезпечення позитивної мотивації.</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Основний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Викладення лекційного матеріалу за планом:</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Професійні права та пільги фармацевтичних працівників</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Державні соціальні стандарти</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Державні соціальні стандартиу сфері доходів населення: прожитковий мінімум, мінімальна заробітна плата</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Заключний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Резюме лекції. Загальні висновки.</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Відповідь лектора на можливі запитання.</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Завдання для самопідготовки.</w:t>
            </w:r>
          </w:p>
        </w:tc>
        <w:tc>
          <w:tcPr>
            <w:tcW w:w="1559" w:type="dxa"/>
            <w:tcBorders>
              <w:top w:val="single" w:sz="4" w:space="0" w:color="000000"/>
              <w:left w:val="single" w:sz="4" w:space="0" w:color="000000"/>
              <w:bottom w:val="single" w:sz="4" w:space="0" w:color="000000"/>
            </w:tcBorders>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I</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Ш</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ІУ</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tc>
        <w:tc>
          <w:tcPr>
            <w:tcW w:w="170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Проєктор </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Список літератури, питання, завдання.</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85 – 90%</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tc>
      </w:tr>
    </w:tbl>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ab/>
      </w:r>
    </w:p>
    <w:p w:rsidR="0088636D" w:rsidRPr="0088636D" w:rsidRDefault="0088636D" w:rsidP="0088636D">
      <w:pPr>
        <w:suppressAutoHyphens/>
        <w:spacing w:after="0" w:line="240" w:lineRule="auto"/>
        <w:ind w:firstLine="708"/>
        <w:jc w:val="center"/>
        <w:rPr>
          <w:rFonts w:ascii="Times New Roman" w:eastAsia="Times New Roman" w:hAnsi="Times New Roman" w:cs="Times New Roman"/>
          <w:b/>
          <w:bCs/>
          <w:iCs/>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b/>
          <w:bCs/>
          <w:iCs/>
          <w:sz w:val="24"/>
          <w:szCs w:val="24"/>
          <w:lang w:val="uk-UA" w:eastAsia="ar-SA"/>
        </w:rPr>
      </w:pPr>
      <w:r w:rsidRPr="0088636D">
        <w:rPr>
          <w:rFonts w:ascii="Times New Roman" w:eastAsia="Times New Roman" w:hAnsi="Times New Roman" w:cs="Times New Roman"/>
          <w:b/>
          <w:bCs/>
          <w:iCs/>
          <w:sz w:val="24"/>
          <w:szCs w:val="24"/>
          <w:lang w:val="uk-UA" w:eastAsia="ar-SA"/>
        </w:rPr>
        <w:t>Зміст лекційного матеріалу (текст лекцій)</w:t>
      </w:r>
    </w:p>
    <w:p w:rsidR="0088636D" w:rsidRPr="0088636D" w:rsidRDefault="0088636D" w:rsidP="0088636D">
      <w:pPr>
        <w:suppressAutoHyphens/>
        <w:spacing w:after="0" w:line="240" w:lineRule="auto"/>
        <w:rPr>
          <w:rFonts w:ascii="Times New Roman" w:eastAsia="Times New Roman" w:hAnsi="Times New Roman" w:cs="Times New Roman"/>
          <w:b/>
          <w:bCs/>
          <w:iCs/>
          <w:sz w:val="24"/>
          <w:szCs w:val="24"/>
          <w:lang w:val="uk-UA" w:eastAsia="ar-SA"/>
        </w:rPr>
      </w:pPr>
    </w:p>
    <w:p w:rsidR="0088636D" w:rsidRPr="0088636D" w:rsidRDefault="0088636D" w:rsidP="008512F9">
      <w:pPr>
        <w:numPr>
          <w:ilvl w:val="0"/>
          <w:numId w:val="8"/>
        </w:numPr>
        <w:shd w:val="clear" w:color="auto" w:fill="FFFFFF"/>
        <w:suppressAutoHyphens/>
        <w:spacing w:after="150" w:line="240" w:lineRule="auto"/>
        <w:outlineLvl w:val="0"/>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Професійні права та пільги фармацевтичних працівників</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Велике значення для створення ефективного юридичного механізму має забезпечення прав фармацевтичних працівників, крім формальних принципів правового регулювання, зокрема, принципу збереження прав у відповідній сфері, тому важливо при прийнятті нових нормативно-правових актів додержуватися принципу юридичної ясності. Пільговим категоріям населення має бути забезпечена доступність розуміння змісту закону. З цим безпосередньо пов’язаний принцип захисту законних сподівань. Його, на жаль, не було дотримано при впровадженні прав та пільг, передбачених ст. 77 Основ законодавства України про охорону здоров’я.</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Серед перелічених у зазначеній статті прав:</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заняття фармацевтичною діяльністю відповідно до спеціальності та кваліфікації;</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права на належні умови професійної діяльності; підвищення кваліфікації, перепідготовку не рідше одного разу на п’ять років у відповідних закладах та установах;</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вільного вибору апробованих форм, методів і засобів діяльності, впровадження у встановленому порядку сучасних досягнень медичної та фармацевтичної науки і практики;</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безплатне користування соціальною, екологічною та спеціальною медичною інформацією, необхідною для виконання професійних обов’язків;</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обов’язкове страхування за рахунок власника закладу охорони здоров’я у разі заподіяння шкоди їх життю і здоров’ю у зв’язку з виконанням професійних обов’язків у випадках, передбачених законодавством;</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соціальну допомогу з боку держави у разі захворювання, каліцтва або в інших випадках втрати працездатності, що настала у зв’язку з виконанням професійних обов’язків;</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встановлення у державних закладах охорони здоров’я посадових окладів (тарифних ставок) на основі Єдиної тарифної сітки у порядку, визначеному КМУ;</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скорочений робочий день і додаткову оплачувану відпустку у випадках, встановлених законодавством;</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lastRenderedPageBreak/>
        <w:t>– пільгові умови пенсійного забезпечення;</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пільгове надання житла та забезпечення телефоном;</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безплатне користування житлом з освітленням і опаленням тим, хто проживає і працює у сільській місцевості і селищах міського типу, а також пенсіонерам, які раніше працювали медичними та фармацевтичними працівниками і проживають у цих населених пунктах, надання пільг щодо сплати земельного податку, кредитування, обзаведення господарством і будівництва приватного житла, придбання автомототранспорту (пільги на безплатне користування житлом з опаленням та освітленням надаються: працівникам за умови, якщо розмір наданих пільг у грошовому еквіваленті разом із середньомісячним сукупним доходом працівника за попередні шість місяців не перевищує величини доходу, який дає право на податкову соціальну пільгу, у порядку, визначеному КМУ; пенсіонерам за умови, якщо середньомісячний сукупний дохід сім’ї в розрахунку на одну особу за попередні шість місяців не перевищує величини доходу, який дає право на податкову соціальну пільгу, у порядку, визначеному КМУ);</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першочергове одержання лікувально-профілактичної допомоги і забезпечення лікарськими та протезними засобами;</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створення наукових медичних товариств, професійних спілок, а також інших громадських організацій; судовий захист професійної честі та гідності;</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безоплатне отримання у власність земельної ділянки в межах земельної частки (паю) члена сільськогосподарського підприємства, сільськогосподарської установи та організації, розташованих на території відповідної ради, із земель сільськогосподарського підприємства, сільськогосподарської установи та організації, що приватизуються, або земель запасу чи резервного фонду, але не більше норм безоплатної передачі земельних ділянок громадянам, встановлених законом для ведення особистого селянського господарства (дія цього пункту не поширюється на громадян, які раніше набули право на земельну частку (пай) та земельні ділянки для ведення особистого підсобного господарства чи для ведення особистого селянського господарства, крім випадків успадкування права на земельну частку (пай), земельні ділянки для ведення особистого підсобного господарства чи для ведення особистого селянського господарства відповідно до закону), деякі потребують особливих юридичних механізмів їх здійснення.</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Якщо зрозуміло, що право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належні умови професійної діяльності, підвищення кваліфікації, перепідготовку не рідше одного разу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п’ять років у відповідних закладах та установах повинно забезпечуватися саме роботодавцем,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сьогодні не завжди працівники аптечних закладів інших форм власності, ніж державні та комунальні, в</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повному обсязі забезпечені цим правом саме за рахунок роботодавця, і саме це право також повинно бути предметом захисту відповідних громадських об’єднань.</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А такі права:</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на скорочений робочий день і додаткову оплачувану відпустку;</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на пільгові умови пенсійного забезпечення;</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на пільгове надання житла та забезпечення телефоном;</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iCs/>
          <w:color w:val="333333"/>
          <w:sz w:val="24"/>
          <w:szCs w:val="24"/>
          <w:lang w:eastAsia="ru-RU"/>
        </w:rPr>
        <w:t>– на безплатне користування житлом з освітленням і опаленням тим, хто проживає і працює у сільській місцевості і селищах міського типу, а також для пенсіонерів, взагалі на сьогодні для реалізації потребують значних зусиль з боку фармацевтичних працівників, крім тих, хто працює або працював в бюджетних закладах охорони здоров’я. Право на скорочений робочий день і додаткову оплачувану відпустку, право на пільгове надання житла та забезпечення телефоном можливе лише у великих фармацевтичних організаціях, як правило, державної та комунальної форм власності, де є сильні профспілкові організації.</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Що стосується права на безплатне користування житлом з освітленням і опаленням тим, хто проживає і працює у сільській місцевості й селищах міського типу, то це право на сьогодні конкретизоване лише стосовно працівників бюджетних установ.</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 xml:space="preserve">Останнім часом виникають також труднощі у сфері пільгового оформлення пенсій для фармацевтичних працівників, а саме — за вислугу років. </w:t>
      </w:r>
      <w:r w:rsidRPr="0088636D">
        <w:rPr>
          <w:rFonts w:ascii="Times New Roman" w:eastAsia="Times New Roman" w:hAnsi="Times New Roman" w:cs="Times New Roman"/>
          <w:color w:val="333333"/>
          <w:sz w:val="24"/>
          <w:szCs w:val="24"/>
          <w:lang w:val="uk-UA" w:eastAsia="ru-RU"/>
        </w:rPr>
        <w:t xml:space="preserve"> </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Так, право на соціальний захист закріплено в ст. 46 Конституції України, де зазначено:</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 xml:space="preserve">«Громадяни мають право на соціальний захист, що включає право на забезпечення їх у разі повної, часткової або тимчасової втрати працездатності, втрати годувальника, безробіття з </w:t>
      </w:r>
      <w:r w:rsidRPr="0088636D">
        <w:rPr>
          <w:rFonts w:ascii="Times New Roman" w:eastAsia="Times New Roman" w:hAnsi="Times New Roman" w:cs="Times New Roman"/>
          <w:color w:val="333333"/>
          <w:sz w:val="24"/>
          <w:szCs w:val="24"/>
          <w:lang w:eastAsia="ru-RU"/>
        </w:rPr>
        <w:lastRenderedPageBreak/>
        <w:t>незалежних від них обставин, а також у старості та в інших випадках, передбачених законом. Це право гарантується загальнообов’язковим державним соціальним страхуванням за рахунок страхових внесків громадян, підприємств, установ і організацій, а також бюджетних та інших джерел соціального забезпечення».</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val="uk-UA" w:eastAsia="ru-RU"/>
        </w:rPr>
        <w:t>При ознайомленні зі змістом цієї статті невідкладно виникає ряд запитань, що стосуються тлумачення права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соціальний захист, перш за все, щодо гарантій всім непрацездатним громадянам України права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матеріальне забезпечення за рахунок суспільних фондів споживання шляхом надання трудових і соціальних пенсій. Тому Закон України «Про пенсійне забезпечення» спрямований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 xml:space="preserve">те, щоб повніше враховувалися суспільно-корисна праця як джерело зростання добробуту народу і кожної людини, встановлює єдність умов і норм пенсійного забезпечення робітників, членів колгоспів та інших категорій трудящих. </w:t>
      </w:r>
      <w:r w:rsidRPr="0088636D">
        <w:rPr>
          <w:rFonts w:ascii="Times New Roman" w:eastAsia="Times New Roman" w:hAnsi="Times New Roman" w:cs="Times New Roman"/>
          <w:color w:val="333333"/>
          <w:sz w:val="24"/>
          <w:szCs w:val="24"/>
          <w:lang w:eastAsia="ru-RU"/>
        </w:rPr>
        <w:t>В ст.2 цього закону визначенні види державних пенсій, а саме: трудові пенсії за віком; по інвалідності; в разі втрати годувальника; за вислугу років; соціальні пенсії.</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Існуюча в країні державна розподільча система поступово реформується у солідарну систему, що означає солідарність поколінь, регіонів і високо- та малозабезпечених верств населення. Виплата пенсій непрацездатним здійснюється за рахунок поточних внесків працюючих. Вона передбачає встановлення розмірів пенсій залежно від страхового стажу та розміру заробітної плати, з якої сплачені внески, облік яких здійснюється персоніфіковано в Пенсійному фонді України. Держава гарантує лише мінімальний розмір пенсії, а все інше повністю залежить від людини. Ідея залежності розміру пенсії від тривалості трудового (страхового) стажу і суми заробітку (доходу) за певний час, а в майбутньому і за всю трудову діяльність, становить суть цього принципу пенсійного права. Втрата працездатності означає втрату джерела доходу, що змушує суспільство шукати йому заміну. Такою заміною є пенсія. Вона виплачується в разі настання непрацездатності через інвалідність, досягнення певного віку, вислуги років, що підтверджує юридичну непрацездатність, а також втрати годувальника щодо непрацездатних членів сім’ї та в інших випадках, передбачених законом. Отже, пенсійним забезпеченням охоплені всі можливі випадки непрацездатності.</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Пенсії за вислугу років встановлюються окремим категоріям громадян, зайнятим на роботах, виконання яких призводить до втрати професійної працездатності (придатності) до настання віку, що дає право на пенсію за віком. Серед окремих категорій працівників галузей народного господарства, які мають право на пенсію за вислугу років (ст. 55-е) є і працівники охорони здоров’я при наявності спеціального стажу роботи від 20 до 30 років за переліком, що затверджується у порядку, який визначається КМУ, незалежно від віку.</w:t>
      </w:r>
      <w:r w:rsidRPr="0088636D">
        <w:rPr>
          <w:rFonts w:ascii="Times New Roman" w:eastAsia="Times New Roman" w:hAnsi="Times New Roman" w:cs="Times New Roman"/>
          <w:color w:val="333333"/>
          <w:sz w:val="24"/>
          <w:szCs w:val="24"/>
          <w:lang w:val="uk-UA" w:eastAsia="ru-RU"/>
        </w:rPr>
        <w:t xml:space="preserve"> Але, з 1 січня 2004 р. набув чинності Закон України «Про загальнообов’язкове державне пенсійне страхування», відповідно до прикінцевих положень цього закону (п. 2) пенсійне забезпечення застрахованих осіб, які працювали або працюють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посадах, що дають право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призначення пенсії за віком на</w:t>
      </w:r>
      <w:r w:rsidRPr="0088636D">
        <w:rPr>
          <w:rFonts w:ascii="Times New Roman" w:eastAsia="Times New Roman" w:hAnsi="Times New Roman" w:cs="Times New Roman"/>
          <w:color w:val="333333"/>
          <w:sz w:val="24"/>
          <w:szCs w:val="24"/>
          <w:lang w:eastAsia="ru-RU"/>
        </w:rPr>
        <w:t> </w:t>
      </w:r>
      <w:r w:rsidRPr="0088636D">
        <w:rPr>
          <w:rFonts w:ascii="Times New Roman" w:eastAsia="Times New Roman" w:hAnsi="Times New Roman" w:cs="Times New Roman"/>
          <w:color w:val="333333"/>
          <w:sz w:val="24"/>
          <w:szCs w:val="24"/>
          <w:lang w:val="uk-UA" w:eastAsia="ru-RU"/>
        </w:rPr>
        <w:t>пільгових умовах або за вислугу років, здійснюється згідно з окремим законодавчим актом через професійні та корпоративні фонди.</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val="uk-UA" w:eastAsia="ru-RU"/>
        </w:rPr>
        <w:t xml:space="preserve">Особливості створення та функціонування корпоративних і професійних фондів визначені ст. 20 Закону України «Про недержавне пенсійне забезпечення», який також набрав чинності з 1 січня 2004 р. Згідно з ним сплата пенсійних внесків фізичними особами до корпоративних і професійних пенсійних фондів є добровільною. </w:t>
      </w:r>
      <w:r w:rsidRPr="0088636D">
        <w:rPr>
          <w:rFonts w:ascii="Times New Roman" w:eastAsia="Times New Roman" w:hAnsi="Times New Roman" w:cs="Times New Roman"/>
          <w:color w:val="333333"/>
          <w:sz w:val="24"/>
          <w:szCs w:val="24"/>
          <w:lang w:eastAsia="ru-RU"/>
        </w:rPr>
        <w:t xml:space="preserve">Колективним договором може передбачатися створення корпоративного пенсійного фонду роботодавцем або відрахування пенсійних внесків роботодавців до інших пенсійних внесків. Цим же законом встановленні види пенсійних виплат (ст. 60) — це пенсія на визначений строк та одноразова пенсійна виплата. Підставами для здійснення пенсійних виплат пенсійними фондами (ст. 61) є: досягнення учасником фонду пенсійного віку (пенсійний вік, що визначається учасником фонду, може бути меншим або більшим від пенсійного віку, який надає право на пенсію за загальнообов’язковим державним пенсійним страхуванням, але не більше ніж на 10 років, якщо інше не визначено законом); визнання учасника фонду інвалідом; медично підтверджений критичний стан здоров’я (онкозахворювання, інсульт тощо) учасника фонду; виїзд учасника фонду на постійне проживання за межі України; смерть учасника фонду. При цьому пенсійні виплати з пенсійного фонду (п. 6 ст. 61) здійснюються незалежно від отримання виплати за загальнообов’язковим державним пенсійним страхуванням. Але, згідно з прикінцевими </w:t>
      </w:r>
      <w:r w:rsidRPr="0088636D">
        <w:rPr>
          <w:rFonts w:ascii="Times New Roman" w:eastAsia="Times New Roman" w:hAnsi="Times New Roman" w:cs="Times New Roman"/>
          <w:color w:val="333333"/>
          <w:sz w:val="24"/>
          <w:szCs w:val="24"/>
          <w:lang w:eastAsia="ru-RU"/>
        </w:rPr>
        <w:lastRenderedPageBreak/>
        <w:t>положеннями Закону України «Про загальнообов’язкове державне пенсійне страхування», до запровадження пенсійного забезпечення через професійні та корпоративні фонди, пенсійне забезпечення застрахованих осіб, які працювали або працюють на посадах, що дають право на призначення пенсії за віком на пільгових умовах або за вислугу років, здійснюється за нормами цього закону в разі досягнення пенсійного віку та наявності трудового стажу, передбаченого Законом України «Про пенсійне забезпечення».</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Тобто до запровадження пенсійного забезпечення через професійні та корпоративні фонди пенсійне забезпечення зазначених осіб, при наявності відповідного спеціального трудового стажу, здійснюється за нормами Закону України «Про пенсійне забезпечення».</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 xml:space="preserve">При визначенні спеціального трудового стажу необхідно керуватися Переліком закладів і установ освіти, охорони здоров’я та соціального захисту і посад, затвердженим постановою КМУ від 4.11.1993 р. № 909, робота в яких дає право на пенсію за вислугу років. Відповідно до зазначеного підзаконного акту пенсія працівникам охорони здоров’я призначається за наявності спеціального стажу — 25 років. До спеціального стажу належить і стаж роботи в таких закладах охорони здоров’я, як аптеки, аптечні </w:t>
      </w:r>
      <w:r w:rsidRPr="0088636D">
        <w:rPr>
          <w:rFonts w:ascii="Times New Roman" w:eastAsia="Times New Roman" w:hAnsi="Times New Roman" w:cs="Times New Roman"/>
          <w:color w:val="333333"/>
          <w:sz w:val="24"/>
          <w:szCs w:val="24"/>
          <w:lang w:val="uk-UA" w:eastAsia="ru-RU"/>
        </w:rPr>
        <w:t>пункти,</w:t>
      </w:r>
      <w:r w:rsidRPr="0088636D">
        <w:rPr>
          <w:rFonts w:ascii="Times New Roman" w:eastAsia="Times New Roman" w:hAnsi="Times New Roman" w:cs="Times New Roman"/>
          <w:color w:val="333333"/>
          <w:sz w:val="24"/>
          <w:szCs w:val="24"/>
          <w:lang w:eastAsia="ru-RU"/>
        </w:rPr>
        <w:t xml:space="preserve"> контрольно-аналітичні лабораторії на посадах провізорів, фармацевтів (незалежно від найменування посад) та лаборантів. Крім того, відповідно п. 2 примітки до цього Переліку, робота за спеціальністю в закладах, установах і на посадах дає право на пенсію незалежно від форми власності або відомчої належності закладів і установ.</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Таким чином, Законом України «Про пенсійне забезпечення» та постановою КМУ«Про перелік закладів і установ освіти, охорони здоров’я та соціального захисту і посад, робота на яких дає право на пенсію за вислугу років» від 4.11.1993 р. № 909 визначений вичерпний перелік умов призначення пенсії за вислугу років провізорам, фармацевтам і лаборантам, які працюють за спеціальністю.</w:t>
      </w:r>
    </w:p>
    <w:p w:rsidR="0088636D" w:rsidRPr="0088636D" w:rsidRDefault="0088636D" w:rsidP="008512F9">
      <w:pPr>
        <w:numPr>
          <w:ilvl w:val="0"/>
          <w:numId w:val="8"/>
        </w:numPr>
        <w:shd w:val="clear" w:color="auto" w:fill="FFFFFF"/>
        <w:suppressAutoHyphens/>
        <w:spacing w:before="100" w:beforeAutospacing="1" w:after="100" w:afterAutospacing="1" w:line="240" w:lineRule="auto"/>
        <w:outlineLvl w:val="1"/>
        <w:rPr>
          <w:rFonts w:ascii="Times New Roman" w:eastAsia="Times New Roman" w:hAnsi="Times New Roman" w:cs="Times New Roman"/>
          <w:bCs/>
          <w:i/>
          <w:color w:val="000000"/>
          <w:sz w:val="24"/>
          <w:szCs w:val="24"/>
          <w:lang w:val="uk-UA" w:eastAsia="uk-UA"/>
        </w:rPr>
      </w:pPr>
      <w:r w:rsidRPr="0088636D">
        <w:rPr>
          <w:rFonts w:ascii="Times New Roman" w:eastAsia="Times New Roman" w:hAnsi="Times New Roman" w:cs="Times New Roman"/>
          <w:bCs/>
          <w:i/>
          <w:color w:val="000000"/>
          <w:sz w:val="24"/>
          <w:szCs w:val="24"/>
          <w:lang w:val="uk-UA" w:eastAsia="uk-UA"/>
        </w:rPr>
        <w:t>Державні соціальні стандарти</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Державні соціальні стандарти — це встановлені закона</w:t>
      </w:r>
      <w:r w:rsidRPr="0088636D">
        <w:rPr>
          <w:rFonts w:ascii="Times New Roman" w:eastAsia="Times New Roman" w:hAnsi="Times New Roman" w:cs="Times New Roman"/>
          <w:color w:val="333333"/>
          <w:sz w:val="24"/>
          <w:szCs w:val="24"/>
          <w:lang w:eastAsia="ru-RU"/>
        </w:rPr>
        <w:softHyphen/>
        <w:t xml:space="preserve">ми, іншими нормативно-правовими актами соціальні норми і нормативи або їх комплекс, на базі яких визначаються рівні основних державних соціальних гарантій.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 xml:space="preserve">Державні соціальні гарантії - встановлені законами мінімальні розміри оплати праці, доходів громадян, пенсійного забезпечення, соціальної допомоги, розміри інших видів соціальних виплат, встановлені законами та іншими нормативно-правовими актами, які забезпечують рівень життя не нижчий від прожиткового мінімуму.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Соціальні норми і нормативи - показники необхідного споживання продуктів харчування, непродовольчих товарів і послуг та забезпечення освітніми, медичними, житлово-комунальними, соціально-культурними послугами. Нормативи витрат (фінансування) — показники поточних і капітальних витрат з бюджетів усіх рівнів на забезпечення задоволення потреб на рівні, не нижчому від державних соціальних стандартів і нормативів.</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 xml:space="preserve">Метою встановлення державних соціальних стандартів і нормативів є: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1) визначення механізму реалізації соціальних прав та державних соціальних гарантій громадян, передбаче</w:t>
      </w:r>
      <w:r w:rsidRPr="0088636D">
        <w:rPr>
          <w:rFonts w:ascii="Times New Roman" w:eastAsia="Times New Roman" w:hAnsi="Times New Roman" w:cs="Times New Roman"/>
          <w:color w:val="333333"/>
          <w:sz w:val="24"/>
          <w:szCs w:val="24"/>
          <w:lang w:eastAsia="ru-RU"/>
        </w:rPr>
        <w:softHyphen/>
        <w:t xml:space="preserve">них Конституцією України;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2) визначення пріоритетів держав</w:t>
      </w:r>
      <w:r w:rsidRPr="0088636D">
        <w:rPr>
          <w:rFonts w:ascii="Times New Roman" w:eastAsia="Times New Roman" w:hAnsi="Times New Roman" w:cs="Times New Roman"/>
          <w:color w:val="333333"/>
          <w:sz w:val="24"/>
          <w:szCs w:val="24"/>
          <w:lang w:val="uk-UA" w:eastAsia="ru-RU"/>
        </w:rPr>
        <w:softHyphen/>
        <w:t xml:space="preserve">ної соціальної політики щодо забезпечення потреб людини в матеріальних благах і послугах та фінансових ресурсів для їх реалізації;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3) визначення та обґрунтування розмірів видатків бюджетних коштів і коштів соціальних фондів на соціальний захист і забезпечення населення та утримання соціальної сфе</w:t>
      </w:r>
      <w:r w:rsidRPr="0088636D">
        <w:rPr>
          <w:rFonts w:ascii="Times New Roman" w:eastAsia="Times New Roman" w:hAnsi="Times New Roman" w:cs="Times New Roman"/>
          <w:color w:val="333333"/>
          <w:sz w:val="24"/>
          <w:szCs w:val="24"/>
          <w:lang w:val="uk-UA" w:eastAsia="ru-RU"/>
        </w:rPr>
        <w:softHyphen/>
        <w:t xml:space="preserve">ри.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стандарти обов'язково враховуються при розробці програм економічного і соціального розвитку.</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Класифікація соціальних нормативів здійснюється за харак</w:t>
      </w:r>
      <w:r w:rsidRPr="0088636D">
        <w:rPr>
          <w:rFonts w:ascii="Times New Roman" w:eastAsia="Times New Roman" w:hAnsi="Times New Roman" w:cs="Times New Roman"/>
          <w:color w:val="333333"/>
          <w:sz w:val="24"/>
          <w:szCs w:val="24"/>
          <w:lang w:eastAsia="ru-RU"/>
        </w:rPr>
        <w:softHyphen/>
        <w:t xml:space="preserve">тером задоволення соціальних потреб та за рівнем задоволення цих потреб. За першим критерієм виділяють: </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1) нормативи споживання — розміри споживання в натуральному вираженні за певний проміжок часу (за рік, місяць, день) продуктів хар</w:t>
      </w:r>
      <w:r w:rsidRPr="0088636D">
        <w:rPr>
          <w:rFonts w:ascii="Times New Roman" w:eastAsia="Times New Roman" w:hAnsi="Times New Roman" w:cs="Times New Roman"/>
          <w:color w:val="333333"/>
          <w:sz w:val="24"/>
          <w:szCs w:val="24"/>
          <w:lang w:eastAsia="ru-RU"/>
        </w:rPr>
        <w:softHyphen/>
        <w:t xml:space="preserve">чування, непродовольчих товарів поточного споживання та деяких видів послуг; </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lastRenderedPageBreak/>
        <w:t>2) нормативи забезпечення — визначена кількість наявних в особистому споживанні предметів довгостро</w:t>
      </w:r>
      <w:r w:rsidRPr="0088636D">
        <w:rPr>
          <w:rFonts w:ascii="Times New Roman" w:eastAsia="Times New Roman" w:hAnsi="Times New Roman" w:cs="Times New Roman"/>
          <w:color w:val="333333"/>
          <w:sz w:val="24"/>
          <w:szCs w:val="24"/>
          <w:lang w:eastAsia="ru-RU"/>
        </w:rPr>
        <w:softHyphen/>
        <w:t>кового користування, а також забезпечення певної території мережею закладів охорони здоров'я, освіти, підприємств, уста</w:t>
      </w:r>
      <w:r w:rsidRPr="0088636D">
        <w:rPr>
          <w:rFonts w:ascii="Times New Roman" w:eastAsia="Times New Roman" w:hAnsi="Times New Roman" w:cs="Times New Roman"/>
          <w:color w:val="333333"/>
          <w:sz w:val="24"/>
          <w:szCs w:val="24"/>
          <w:lang w:eastAsia="ru-RU"/>
        </w:rPr>
        <w:softHyphen/>
        <w:t>нов, організацій соціально-культурного, побутового, транс</w:t>
      </w:r>
      <w:r w:rsidRPr="0088636D">
        <w:rPr>
          <w:rFonts w:ascii="Times New Roman" w:eastAsia="Times New Roman" w:hAnsi="Times New Roman" w:cs="Times New Roman"/>
          <w:color w:val="333333"/>
          <w:sz w:val="24"/>
          <w:szCs w:val="24"/>
          <w:lang w:eastAsia="ru-RU"/>
        </w:rPr>
        <w:softHyphen/>
        <w:t xml:space="preserve">портного обслуговування та житлово-комунальних послуг; </w:t>
      </w:r>
    </w:p>
    <w:p w:rsidR="0088636D" w:rsidRPr="0088636D" w:rsidRDefault="0088636D" w:rsidP="0088636D">
      <w:pPr>
        <w:shd w:val="clear" w:color="auto" w:fill="FFFFFF"/>
        <w:spacing w:after="0" w:line="240" w:lineRule="auto"/>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3) нор</w:t>
      </w:r>
      <w:r w:rsidRPr="0088636D">
        <w:rPr>
          <w:rFonts w:ascii="Times New Roman" w:eastAsia="Times New Roman" w:hAnsi="Times New Roman" w:cs="Times New Roman"/>
          <w:color w:val="333333"/>
          <w:sz w:val="24"/>
          <w:szCs w:val="24"/>
          <w:lang w:eastAsia="ru-RU"/>
        </w:rPr>
        <w:softHyphen/>
        <w:t>мативи доходу — розмір особистого доходу громадянина або сім'ї, який гарантує їм достатній рівень задоволення потреб, що обчислюється на основі визначення вартісної величини на</w:t>
      </w:r>
      <w:r w:rsidRPr="0088636D">
        <w:rPr>
          <w:rFonts w:ascii="Times New Roman" w:eastAsia="Times New Roman" w:hAnsi="Times New Roman" w:cs="Times New Roman"/>
          <w:color w:val="333333"/>
          <w:sz w:val="24"/>
          <w:szCs w:val="24"/>
          <w:lang w:eastAsia="ru-RU"/>
        </w:rPr>
        <w:softHyphen/>
        <w:t>бору нормативів споживання та забезпечення.</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За другим кри</w:t>
      </w:r>
      <w:r w:rsidRPr="0088636D">
        <w:rPr>
          <w:rFonts w:ascii="Times New Roman" w:eastAsia="Times New Roman" w:hAnsi="Times New Roman" w:cs="Times New Roman"/>
          <w:color w:val="333333"/>
          <w:sz w:val="24"/>
          <w:szCs w:val="24"/>
          <w:lang w:eastAsia="ru-RU"/>
        </w:rPr>
        <w:softHyphen/>
        <w:t xml:space="preserve">терієм соціальні нормативи поділяються: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1) на нормативи ра</w:t>
      </w:r>
      <w:r w:rsidRPr="0088636D">
        <w:rPr>
          <w:rFonts w:ascii="Times New Roman" w:eastAsia="Times New Roman" w:hAnsi="Times New Roman" w:cs="Times New Roman"/>
          <w:color w:val="333333"/>
          <w:sz w:val="24"/>
          <w:szCs w:val="24"/>
          <w:lang w:eastAsia="ru-RU"/>
        </w:rPr>
        <w:softHyphen/>
        <w:t>ціонального споживання — рівень, що гарантує оптимальне за</w:t>
      </w:r>
      <w:r w:rsidRPr="0088636D">
        <w:rPr>
          <w:rFonts w:ascii="Times New Roman" w:eastAsia="Times New Roman" w:hAnsi="Times New Roman" w:cs="Times New Roman"/>
          <w:color w:val="333333"/>
          <w:sz w:val="24"/>
          <w:szCs w:val="24"/>
          <w:lang w:eastAsia="ru-RU"/>
        </w:rPr>
        <w:softHyphen/>
        <w:t xml:space="preserve">доволення потреб;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eastAsia="ru-RU"/>
        </w:rPr>
        <w:t>2) нормативи мінімального споживання — соціально прийнятний рівень споживання продуктів харчуван</w:t>
      </w:r>
      <w:r w:rsidRPr="0088636D">
        <w:rPr>
          <w:rFonts w:ascii="Times New Roman" w:eastAsia="Times New Roman" w:hAnsi="Times New Roman" w:cs="Times New Roman"/>
          <w:color w:val="333333"/>
          <w:sz w:val="24"/>
          <w:szCs w:val="24"/>
          <w:lang w:eastAsia="ru-RU"/>
        </w:rPr>
        <w:softHyphen/>
        <w:t xml:space="preserve">ня, непродовольчих товарів та послуг з огляду на соціальні або фізіологічні потреби;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3) статистичні нормативи — нормативи, що визначаються на основі показників фактичного споживан</w:t>
      </w:r>
      <w:r w:rsidRPr="0088636D">
        <w:rPr>
          <w:rFonts w:ascii="Times New Roman" w:eastAsia="Times New Roman" w:hAnsi="Times New Roman" w:cs="Times New Roman"/>
          <w:color w:val="333333"/>
          <w:sz w:val="24"/>
          <w:szCs w:val="24"/>
          <w:lang w:eastAsia="ru-RU"/>
        </w:rPr>
        <w:softHyphen/>
        <w:t>ня або забезпеченості для всього населення чи його окремих соціально-демографічних груп.</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стандарти і нормативи, як правило, фор</w:t>
      </w:r>
      <w:r w:rsidRPr="0088636D">
        <w:rPr>
          <w:rFonts w:ascii="Times New Roman" w:eastAsia="Times New Roman" w:hAnsi="Times New Roman" w:cs="Times New Roman"/>
          <w:color w:val="333333"/>
          <w:sz w:val="24"/>
          <w:szCs w:val="24"/>
          <w:lang w:eastAsia="ru-RU"/>
        </w:rPr>
        <w:softHyphen/>
        <w:t>муються, встановлюються і затверджуються в порядку, визна</w:t>
      </w:r>
      <w:r w:rsidRPr="0088636D">
        <w:rPr>
          <w:rFonts w:ascii="Times New Roman" w:eastAsia="Times New Roman" w:hAnsi="Times New Roman" w:cs="Times New Roman"/>
          <w:color w:val="333333"/>
          <w:sz w:val="24"/>
          <w:szCs w:val="24"/>
          <w:lang w:eastAsia="ru-RU"/>
        </w:rPr>
        <w:softHyphen/>
        <w:t>ченому Кабінетом Міністрів України за участю та погоджен</w:t>
      </w:r>
      <w:r w:rsidRPr="0088636D">
        <w:rPr>
          <w:rFonts w:ascii="Times New Roman" w:eastAsia="Times New Roman" w:hAnsi="Times New Roman" w:cs="Times New Roman"/>
          <w:color w:val="333333"/>
          <w:sz w:val="24"/>
          <w:szCs w:val="24"/>
          <w:lang w:eastAsia="ru-RU"/>
        </w:rPr>
        <w:softHyphen/>
        <w:t>ням з іншими сторонами соціального партнерства.</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За сферою застосування розрізняються такі види державних соціальних стандартів і нормативів:</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стандарти у сфері доходів населення (для визначення розмірів державних соціальних гарантій у сфері оплати праці, виплат за обов'язковим державним соціаль</w:t>
      </w:r>
      <w:r w:rsidRPr="0088636D">
        <w:rPr>
          <w:rFonts w:ascii="Times New Roman" w:eastAsia="Times New Roman" w:hAnsi="Times New Roman" w:cs="Times New Roman"/>
          <w:color w:val="333333"/>
          <w:sz w:val="24"/>
          <w:szCs w:val="24"/>
          <w:lang w:eastAsia="ru-RU"/>
        </w:rPr>
        <w:softHyphen/>
        <w:t>ним страхуванням, права на отримання інших видів соціаль</w:t>
      </w:r>
      <w:r w:rsidRPr="0088636D">
        <w:rPr>
          <w:rFonts w:ascii="Times New Roman" w:eastAsia="Times New Roman" w:hAnsi="Times New Roman" w:cs="Times New Roman"/>
          <w:color w:val="333333"/>
          <w:sz w:val="24"/>
          <w:szCs w:val="24"/>
          <w:lang w:eastAsia="ru-RU"/>
        </w:rPr>
        <w:softHyphen/>
        <w:t>них виплат і державної соціальної допомоги та їхніх розмірів, а також визначення пріоритетності напрямів державної со</w:t>
      </w:r>
      <w:r w:rsidRPr="0088636D">
        <w:rPr>
          <w:rFonts w:ascii="Times New Roman" w:eastAsia="Times New Roman" w:hAnsi="Times New Roman" w:cs="Times New Roman"/>
          <w:color w:val="333333"/>
          <w:sz w:val="24"/>
          <w:szCs w:val="24"/>
          <w:lang w:eastAsia="ru-RU"/>
        </w:rPr>
        <w:softHyphen/>
        <w:t>ціальної політики);</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надання соціальних послуг (для визначення розмірів державних гарантій со</w:t>
      </w:r>
      <w:r w:rsidRPr="0088636D">
        <w:rPr>
          <w:rFonts w:ascii="Times New Roman" w:eastAsia="Times New Roman" w:hAnsi="Times New Roman" w:cs="Times New Roman"/>
          <w:color w:val="333333"/>
          <w:sz w:val="24"/>
          <w:szCs w:val="24"/>
          <w:lang w:eastAsia="ru-RU"/>
        </w:rPr>
        <w:softHyphen/>
        <w:t>ціальної підтримки осіб, які перебувають у складних життєвих обставинах);</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житлово-комуналь</w:t>
      </w:r>
      <w:r w:rsidRPr="0088636D">
        <w:rPr>
          <w:rFonts w:ascii="Times New Roman" w:eastAsia="Times New Roman" w:hAnsi="Times New Roman" w:cs="Times New Roman"/>
          <w:color w:val="333333"/>
          <w:sz w:val="24"/>
          <w:szCs w:val="24"/>
          <w:lang w:eastAsia="ru-RU"/>
        </w:rPr>
        <w:softHyphen/>
        <w:t>ного обслуговування (для визначення державних гарантій щодо надання житлово-комунальних послуг та розмірів плати за житло і житлово-комунальні послуги, які забезпечують реалі</w:t>
      </w:r>
      <w:r w:rsidRPr="0088636D">
        <w:rPr>
          <w:rFonts w:ascii="Times New Roman" w:eastAsia="Times New Roman" w:hAnsi="Times New Roman" w:cs="Times New Roman"/>
          <w:color w:val="333333"/>
          <w:sz w:val="24"/>
          <w:szCs w:val="24"/>
          <w:lang w:eastAsia="ru-RU"/>
        </w:rPr>
        <w:softHyphen/>
        <w:t>зацію конституційного права громадянина на житло);</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транспортного об</w:t>
      </w:r>
      <w:r w:rsidRPr="0088636D">
        <w:rPr>
          <w:rFonts w:ascii="Times New Roman" w:eastAsia="Times New Roman" w:hAnsi="Times New Roman" w:cs="Times New Roman"/>
          <w:color w:val="333333"/>
          <w:sz w:val="24"/>
          <w:szCs w:val="24"/>
          <w:lang w:eastAsia="ru-RU"/>
        </w:rPr>
        <w:softHyphen/>
        <w:t>слуговування та зв'язку (норми забезпечення транспортом загального користування, показники якості транс</w:t>
      </w:r>
      <w:r w:rsidRPr="0088636D">
        <w:rPr>
          <w:rFonts w:ascii="Times New Roman" w:eastAsia="Times New Roman" w:hAnsi="Times New Roman" w:cs="Times New Roman"/>
          <w:color w:val="333333"/>
          <w:sz w:val="24"/>
          <w:szCs w:val="24"/>
          <w:lang w:eastAsia="ru-RU"/>
        </w:rPr>
        <w:softHyphen/>
        <w:t>портного обслуговування і норми забезпечення населення послу</w:t>
      </w:r>
      <w:r w:rsidRPr="0088636D">
        <w:rPr>
          <w:rFonts w:ascii="Times New Roman" w:eastAsia="Times New Roman" w:hAnsi="Times New Roman" w:cs="Times New Roman"/>
          <w:color w:val="333333"/>
          <w:sz w:val="24"/>
          <w:szCs w:val="24"/>
          <w:lang w:eastAsia="ru-RU"/>
        </w:rPr>
        <w:softHyphen/>
        <w:t>гами зв'язку);</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стандарти у сфері охорони здоров’я (перелік та обсяг гарантованого рівня медичної допомоги громадянам у державних і комунальних закладах охорони здоров'я, нормативи надання медичної допомоги, показники якості надання медичної допомоги, нормативи пільгового забезпечення окремих категорій населення лікарськими засобами та іншими спеціальними засобами, нормативи забезпечення стаціонарною медичною допомогою, нормативи забезпечення медикаментами державних і комунальних закладів охорони здоров'я, нормативи санаторно-курортного забезпечення, нормативи забезпечення харчуванням у державних і комунальних закладах охорони здоров'я);</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забезпечення на</w:t>
      </w:r>
      <w:r w:rsidRPr="0088636D">
        <w:rPr>
          <w:rFonts w:ascii="Times New Roman" w:eastAsia="Times New Roman" w:hAnsi="Times New Roman" w:cs="Times New Roman"/>
          <w:color w:val="333333"/>
          <w:sz w:val="24"/>
          <w:szCs w:val="24"/>
          <w:lang w:eastAsia="ru-RU"/>
        </w:rPr>
        <w:softHyphen/>
        <w:t>вчальними закладами (перелік та обсяг послуг, що надаються державними і комунальними закладами дошкі</w:t>
      </w:r>
      <w:r w:rsidRPr="0088636D">
        <w:rPr>
          <w:rFonts w:ascii="Times New Roman" w:eastAsia="Times New Roman" w:hAnsi="Times New Roman" w:cs="Times New Roman"/>
          <w:color w:val="333333"/>
          <w:sz w:val="24"/>
          <w:szCs w:val="24"/>
          <w:lang w:eastAsia="ru-RU"/>
        </w:rPr>
        <w:softHyphen/>
        <w:t>льної, загальної середньої, професійно-технічної та вищої осві</w:t>
      </w:r>
      <w:r w:rsidRPr="0088636D">
        <w:rPr>
          <w:rFonts w:ascii="Times New Roman" w:eastAsia="Times New Roman" w:hAnsi="Times New Roman" w:cs="Times New Roman"/>
          <w:color w:val="333333"/>
          <w:sz w:val="24"/>
          <w:szCs w:val="24"/>
          <w:lang w:eastAsia="ru-RU"/>
        </w:rPr>
        <w:softHyphen/>
        <w:t>ти, нормативи граничного наповнення класів, груп та спів</w:t>
      </w:r>
      <w:r w:rsidRPr="0088636D">
        <w:rPr>
          <w:rFonts w:ascii="Times New Roman" w:eastAsia="Times New Roman" w:hAnsi="Times New Roman" w:cs="Times New Roman"/>
          <w:color w:val="333333"/>
          <w:sz w:val="24"/>
          <w:szCs w:val="24"/>
          <w:lang w:eastAsia="ru-RU"/>
        </w:rPr>
        <w:softHyphen/>
        <w:t>відношення вихованців, учнів, студентів і педагогічних праців</w:t>
      </w:r>
      <w:r w:rsidRPr="0088636D">
        <w:rPr>
          <w:rFonts w:ascii="Times New Roman" w:eastAsia="Times New Roman" w:hAnsi="Times New Roman" w:cs="Times New Roman"/>
          <w:color w:val="333333"/>
          <w:sz w:val="24"/>
          <w:szCs w:val="24"/>
          <w:lang w:eastAsia="ru-RU"/>
        </w:rPr>
        <w:softHyphen/>
        <w:t>ників у навчальних закладах, норми матеріального забезпе</w:t>
      </w:r>
      <w:r w:rsidRPr="0088636D">
        <w:rPr>
          <w:rFonts w:ascii="Times New Roman" w:eastAsia="Times New Roman" w:hAnsi="Times New Roman" w:cs="Times New Roman"/>
          <w:color w:val="333333"/>
          <w:sz w:val="24"/>
          <w:szCs w:val="24"/>
          <w:lang w:eastAsia="ru-RU"/>
        </w:rPr>
        <w:softHyphen/>
        <w:t>чення навчальних закладів та додаткових видів соціального і матеріального забезпечення учнів);</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обслуговування закладами культури (перелік та обсяг безоплат</w:t>
      </w:r>
      <w:r w:rsidRPr="0088636D">
        <w:rPr>
          <w:rFonts w:ascii="Times New Roman" w:eastAsia="Times New Roman" w:hAnsi="Times New Roman" w:cs="Times New Roman"/>
          <w:color w:val="333333"/>
          <w:sz w:val="24"/>
          <w:szCs w:val="24"/>
          <w:lang w:eastAsia="ru-RU"/>
        </w:rPr>
        <w:softHyphen/>
        <w:t>них послуг, які надаються населенню закладами, підприємства</w:t>
      </w:r>
      <w:r w:rsidRPr="0088636D">
        <w:rPr>
          <w:rFonts w:ascii="Times New Roman" w:eastAsia="Times New Roman" w:hAnsi="Times New Roman" w:cs="Times New Roman"/>
          <w:color w:val="333333"/>
          <w:sz w:val="24"/>
          <w:szCs w:val="24"/>
          <w:lang w:eastAsia="ru-RU"/>
        </w:rPr>
        <w:softHyphen/>
        <w:t xml:space="preserve">ми, організаціями та установами культури, показники якості надання населенню послуг закладами, </w:t>
      </w:r>
      <w:r w:rsidRPr="0088636D">
        <w:rPr>
          <w:rFonts w:ascii="Times New Roman" w:eastAsia="Times New Roman" w:hAnsi="Times New Roman" w:cs="Times New Roman"/>
          <w:color w:val="333333"/>
          <w:sz w:val="24"/>
          <w:szCs w:val="24"/>
          <w:lang w:eastAsia="ru-RU"/>
        </w:rPr>
        <w:lastRenderedPageBreak/>
        <w:t>підприємствами, організаціями та установами культури, нормативи забезпечення населення закладами, підприємствами, організаціями та уста</w:t>
      </w:r>
      <w:r w:rsidRPr="0088636D">
        <w:rPr>
          <w:rFonts w:ascii="Times New Roman" w:eastAsia="Times New Roman" w:hAnsi="Times New Roman" w:cs="Times New Roman"/>
          <w:color w:val="333333"/>
          <w:sz w:val="24"/>
          <w:szCs w:val="24"/>
          <w:lang w:eastAsia="ru-RU"/>
        </w:rPr>
        <w:softHyphen/>
        <w:t>новами культури);</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обслуговування закладами фізичної культури та спорту (перелік та обсяг безоплатних послуг, які надаються населенню закла</w:t>
      </w:r>
      <w:r w:rsidRPr="0088636D">
        <w:rPr>
          <w:rFonts w:ascii="Times New Roman" w:eastAsia="Times New Roman" w:hAnsi="Times New Roman" w:cs="Times New Roman"/>
          <w:color w:val="333333"/>
          <w:sz w:val="24"/>
          <w:szCs w:val="24"/>
          <w:lang w:eastAsia="ru-RU"/>
        </w:rPr>
        <w:softHyphen/>
        <w:t>дами фізичної культури, спорту, а також дитячо-юнацькими спортивними школами, нормативи забезпечення населення закладами фізичної культури та спорту);</w:t>
      </w:r>
    </w:p>
    <w:p w:rsidR="0088636D" w:rsidRPr="0088636D" w:rsidRDefault="0088636D" w:rsidP="008512F9">
      <w:pPr>
        <w:numPr>
          <w:ilvl w:val="0"/>
          <w:numId w:val="7"/>
        </w:numPr>
        <w:shd w:val="clear" w:color="auto" w:fill="FFFFFF"/>
        <w:suppressAutoHyphens/>
        <w:spacing w:after="0" w:line="240" w:lineRule="auto"/>
        <w:ind w:left="0" w:firstLine="709"/>
        <w:jc w:val="both"/>
        <w:rPr>
          <w:rFonts w:ascii="Times New Roman" w:eastAsia="Times New Roman" w:hAnsi="Times New Roman" w:cs="Times New Roman"/>
          <w:color w:val="333333"/>
          <w:sz w:val="24"/>
          <w:szCs w:val="24"/>
          <w:lang w:eastAsia="ru-RU"/>
        </w:rPr>
      </w:pPr>
      <w:r w:rsidRPr="0088636D">
        <w:rPr>
          <w:rFonts w:ascii="Times New Roman" w:eastAsia="Times New Roman" w:hAnsi="Times New Roman" w:cs="Times New Roman"/>
          <w:color w:val="333333"/>
          <w:sz w:val="24"/>
          <w:szCs w:val="24"/>
          <w:lang w:eastAsia="ru-RU"/>
        </w:rPr>
        <w:t>державні соціальні нормативи у сфері побутового обслу</w:t>
      </w:r>
      <w:r w:rsidRPr="0088636D">
        <w:rPr>
          <w:rFonts w:ascii="Times New Roman" w:eastAsia="Times New Roman" w:hAnsi="Times New Roman" w:cs="Times New Roman"/>
          <w:color w:val="333333"/>
          <w:sz w:val="24"/>
          <w:szCs w:val="24"/>
          <w:lang w:eastAsia="ru-RU"/>
        </w:rPr>
        <w:softHyphen/>
        <w:t>говування, торгівлі та громадського харчування (нормативи забезпечення населення побутовими послугами, показники якості надання побутових послуг; нормативи забезпечення торговельною площею та місцями у закладах гро</w:t>
      </w:r>
      <w:r w:rsidRPr="0088636D">
        <w:rPr>
          <w:rFonts w:ascii="Times New Roman" w:eastAsia="Times New Roman" w:hAnsi="Times New Roman" w:cs="Times New Roman"/>
          <w:color w:val="333333"/>
          <w:sz w:val="24"/>
          <w:szCs w:val="24"/>
          <w:lang w:eastAsia="ru-RU"/>
        </w:rPr>
        <w:softHyphen/>
        <w:t>мадського харчування; показники якості та безпеки товарів і послуг підприємств громадського харчування.</w:t>
      </w:r>
    </w:p>
    <w:p w:rsidR="0088636D" w:rsidRPr="0088636D" w:rsidRDefault="0088636D" w:rsidP="0088636D">
      <w:pPr>
        <w:shd w:val="clear" w:color="auto" w:fill="FFFFFF"/>
        <w:spacing w:after="0" w:line="240" w:lineRule="auto"/>
        <w:ind w:left="709"/>
        <w:jc w:val="both"/>
        <w:rPr>
          <w:rFonts w:ascii="Times New Roman" w:eastAsia="Times New Roman" w:hAnsi="Times New Roman" w:cs="Times New Roman"/>
          <w:color w:val="333333"/>
          <w:sz w:val="24"/>
          <w:szCs w:val="24"/>
          <w:lang w:eastAsia="ru-RU"/>
        </w:rPr>
      </w:pPr>
    </w:p>
    <w:p w:rsidR="0088636D" w:rsidRPr="0088636D" w:rsidRDefault="0088636D" w:rsidP="008512F9">
      <w:pPr>
        <w:numPr>
          <w:ilvl w:val="0"/>
          <w:numId w:val="8"/>
        </w:numPr>
        <w:shd w:val="clear" w:color="auto" w:fill="FFFFFF"/>
        <w:suppressAutoHyphens/>
        <w:spacing w:after="0" w:line="240" w:lineRule="auto"/>
        <w:ind w:left="0" w:firstLine="360"/>
        <w:jc w:val="both"/>
        <w:rPr>
          <w:rFonts w:ascii="Times New Roman" w:eastAsia="Times New Roman" w:hAnsi="Times New Roman" w:cs="Times New Roman"/>
          <w:i/>
          <w:color w:val="333333"/>
          <w:sz w:val="24"/>
          <w:szCs w:val="24"/>
          <w:lang w:eastAsia="ru-RU"/>
        </w:rPr>
      </w:pPr>
      <w:r w:rsidRPr="0088636D">
        <w:rPr>
          <w:rFonts w:ascii="Times New Roman" w:eastAsia="Times New Roman" w:hAnsi="Times New Roman" w:cs="Times New Roman"/>
          <w:i/>
          <w:color w:val="333333"/>
          <w:sz w:val="24"/>
          <w:szCs w:val="24"/>
          <w:lang w:eastAsia="ru-RU"/>
        </w:rPr>
        <w:t>Державні соціальні стандарти у сфері доходів населення</w:t>
      </w:r>
      <w:r w:rsidRPr="0088636D">
        <w:rPr>
          <w:rFonts w:ascii="Times New Roman" w:eastAsia="Times New Roman" w:hAnsi="Times New Roman" w:cs="Times New Roman"/>
          <w:i/>
          <w:color w:val="333333"/>
          <w:sz w:val="24"/>
          <w:szCs w:val="24"/>
          <w:lang w:val="uk-UA" w:eastAsia="ru-RU"/>
        </w:rPr>
        <w:t>: прожитковий мінімум, мінімальна заробітна плата</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Державні соціальні стандарти у сфері доходів населення встановлюються з метою визначення розмірів державних соціальних гарантій у сфері оплати праці, виплат за обов’язковим державним соціальним страхуванням, права на отримання інших видів соціальних виплат і державної соціальної допомоги та їх розмірів, а також визначення пріоритетності напрямів державної соціальної політики.</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 xml:space="preserve">Базовим  державним  соціальним  стандартом  у  сфері  доходів населення  є прожитковий  мінімум.  На  його  основі визначаються розміри  мінімальної  заробітної  плати  та  мінімальної пенсії за віком,   неоподатковуваний   мінімум   доходів  громадян,  розміри державної  соціальної  допомоги,  виплат  за  загальнообов'язковим державним  соціальним страхуванням, розміри інших видів соціальних виплат.  Прожитковий  мінімум  застосовується  також для загальної </w:t>
      </w:r>
      <w:r w:rsidRPr="0088636D">
        <w:rPr>
          <w:rFonts w:ascii="Times New Roman" w:eastAsia="Times New Roman" w:hAnsi="Times New Roman" w:cs="Times New Roman"/>
          <w:color w:val="333333"/>
          <w:sz w:val="24"/>
          <w:szCs w:val="24"/>
          <w:lang w:val="uk-UA" w:eastAsia="ru-RU"/>
        </w:rPr>
        <w:br/>
        <w:t xml:space="preserve">оцінки  рівня  життя  в  Україні,  що  є  основою  для  реалізації соціальної політики та розроблення державних соціальних програм.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bookmarkStart w:id="2" w:name="o52"/>
      <w:bookmarkEnd w:id="2"/>
      <w:r w:rsidRPr="0088636D">
        <w:rPr>
          <w:rFonts w:ascii="Times New Roman" w:eastAsia="Times New Roman" w:hAnsi="Times New Roman" w:cs="Times New Roman"/>
          <w:color w:val="333333"/>
          <w:sz w:val="24"/>
          <w:szCs w:val="24"/>
          <w:lang w:val="uk-UA" w:eastAsia="ru-RU"/>
        </w:rPr>
        <w:t xml:space="preserve">     Прожитковий   мінімум   визначається  нормативним  методом  у розрахунку  на  місяць  на одну особу, а також окремо для тих, хто відноситься до основних соціальних і демографічних груп населення: дітей   віком  до  6  років;  дітей  віком  від  6  до  18  років; працездатних осіб; осіб, які втратили працездатність.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bookmarkStart w:id="3" w:name="o53"/>
      <w:bookmarkEnd w:id="3"/>
      <w:r w:rsidRPr="0088636D">
        <w:rPr>
          <w:rFonts w:ascii="Times New Roman" w:eastAsia="Times New Roman" w:hAnsi="Times New Roman" w:cs="Times New Roman"/>
          <w:color w:val="333333"/>
          <w:sz w:val="24"/>
          <w:szCs w:val="24"/>
          <w:lang w:val="uk-UA" w:eastAsia="ru-RU"/>
        </w:rPr>
        <w:t xml:space="preserve">     Прожитковий  мінімум  за  поданням Кабінету Міністрів України щорічно затверджується Верховною Радою України до початку розгляду </w:t>
      </w:r>
      <w:r w:rsidRPr="0088636D">
        <w:rPr>
          <w:rFonts w:ascii="Times New Roman" w:eastAsia="Times New Roman" w:hAnsi="Times New Roman" w:cs="Times New Roman"/>
          <w:color w:val="333333"/>
          <w:sz w:val="24"/>
          <w:szCs w:val="24"/>
          <w:lang w:val="uk-UA" w:eastAsia="ru-RU"/>
        </w:rPr>
        <w:br/>
        <w:t xml:space="preserve">Державного  бюджету України і періодично переглядається відповідно </w:t>
      </w:r>
      <w:r w:rsidRPr="0088636D">
        <w:rPr>
          <w:rFonts w:ascii="Times New Roman" w:eastAsia="Times New Roman" w:hAnsi="Times New Roman" w:cs="Times New Roman"/>
          <w:color w:val="333333"/>
          <w:sz w:val="24"/>
          <w:szCs w:val="24"/>
          <w:lang w:val="uk-UA" w:eastAsia="ru-RU"/>
        </w:rPr>
        <w:br/>
        <w:t xml:space="preserve">до  зростання  індексу споживчих цін разом з уточненням показників </w:t>
      </w:r>
      <w:r w:rsidRPr="0088636D">
        <w:rPr>
          <w:rFonts w:ascii="Times New Roman" w:eastAsia="Times New Roman" w:hAnsi="Times New Roman" w:cs="Times New Roman"/>
          <w:color w:val="333333"/>
          <w:sz w:val="24"/>
          <w:szCs w:val="24"/>
          <w:lang w:val="uk-UA" w:eastAsia="ru-RU"/>
        </w:rPr>
        <w:br/>
        <w:t xml:space="preserve">Державного бюджету України.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Суми прожиткового мінімуму на 2022 рік встановлено Законом України “Про Державний бюджет України на 2022рік” від 14.11.2021 р. N 294-IX.</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 xml:space="preserve">Прожитковий мінімум – вартісна величина достатнього для забезпечення нормального функціонування організму людини, збереження його здоров’я набору продуктів харчування (далі – набір продуктів харчування), а також мінімального набору непродовольчих товарів (далі – набір непродовольчих товарів) та мінімального набору послуг (далі – набір послуг), необхідних для задоволення основних соціальних і культурних потреб особистості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 xml:space="preserve">До працездатних осіб належать особи, які не досягли встановленого законом пенсійного віку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 xml:space="preserve">До осіб, які втратили працездатність, належать особи, які досягли встановленого законом пенсійного віку, особи, які досягли пенсійного віку, що дає право на призначення пенсії на пільгових умовах, та непрацюючі особи, визнані інвалідами в установленому порядку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p>
    <w:p w:rsidR="0088636D" w:rsidRPr="0088636D" w:rsidRDefault="0088636D" w:rsidP="008863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529"/>
          <w:sz w:val="24"/>
          <w:szCs w:val="24"/>
          <w:lang w:eastAsia="uk-U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noProof/>
          <w:sz w:val="24"/>
          <w:szCs w:val="24"/>
          <w:lang w:val="uk-UA" w:eastAsia="uk-UA"/>
        </w:rPr>
        <w:lastRenderedPageBreak/>
        <w:drawing>
          <wp:inline distT="0" distB="0" distL="0" distR="0" wp14:anchorId="1EC8E26B" wp14:editId="1BA2D287">
            <wp:extent cx="6296660" cy="2727325"/>
            <wp:effectExtent l="0" t="0" r="889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96660" cy="2727325"/>
                    </a:xfrm>
                    <a:prstGeom prst="rect">
                      <a:avLst/>
                    </a:prstGeom>
                    <a:noFill/>
                    <a:ln>
                      <a:noFill/>
                    </a:ln>
                  </pic:spPr>
                </pic:pic>
              </a:graphicData>
            </a:graphic>
          </wp:inline>
        </w:drawing>
      </w:r>
    </w:p>
    <w:p w:rsidR="0088636D" w:rsidRPr="0088636D" w:rsidRDefault="0088636D" w:rsidP="0088636D">
      <w:pPr>
        <w:suppressAutoHyphens/>
        <w:spacing w:after="0" w:line="240" w:lineRule="auto"/>
        <w:jc w:val="both"/>
        <w:rPr>
          <w:rFonts w:ascii="Times New Roman" w:eastAsia="Times New Roman" w:hAnsi="Times New Roman" w:cs="Times New Roman"/>
          <w:b/>
          <w:bCs/>
          <w:iCs/>
          <w:sz w:val="24"/>
          <w:szCs w:val="24"/>
          <w:lang w:val="uk-UA" w:eastAsia="ar-SA"/>
        </w:rPr>
      </w:pPr>
    </w:p>
    <w:p w:rsidR="0088636D" w:rsidRPr="0088636D" w:rsidRDefault="0088636D" w:rsidP="0088636D">
      <w:pPr>
        <w:suppressAutoHyphens/>
        <w:spacing w:after="0" w:line="240" w:lineRule="auto"/>
        <w:ind w:firstLine="708"/>
        <w:jc w:val="both"/>
        <w:rPr>
          <w:rFonts w:ascii="Times New Roman" w:eastAsia="Times New Roman" w:hAnsi="Times New Roman" w:cs="Times New Roman"/>
          <w:b/>
          <w:bCs/>
          <w:iCs/>
          <w:sz w:val="24"/>
          <w:szCs w:val="24"/>
          <w:lang w:val="uk-UA" w:eastAsia="ar-SA"/>
        </w:rPr>
      </w:pP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u w:val="single"/>
          <w:lang w:val="uk-UA" w:eastAsia="ru-RU"/>
        </w:rPr>
        <w:t>Мінімальна заробітна плата</w:t>
      </w:r>
      <w:r w:rsidRPr="0088636D">
        <w:rPr>
          <w:rFonts w:ascii="Times New Roman" w:eastAsia="Times New Roman" w:hAnsi="Times New Roman" w:cs="Times New Roman"/>
          <w:color w:val="333333"/>
          <w:sz w:val="24"/>
          <w:szCs w:val="24"/>
          <w:lang w:val="uk-UA" w:eastAsia="ru-RU"/>
        </w:rPr>
        <w:t> — це законодавчо встановлений розмір оплати праці за виконану працівником місячну (годинну) норму праці (ст. 95 КЗпП, ст. 3 Закону про оплату праці).  Мінімальна заробітна плата в погодинному розмірі застосовується на підприємствах усіх форм власності, а також фізичними особами — підприємцями, які використовують найману працю, якщо ними встановлено погодинну оплату праці із застосуванням нормованих завдань та обліком фактичного робочого часу.</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Розмір мінімальної заробітної плати переглядається щорічно  не рідше одного разу на рік та  встановлюється Верховною Радою України за поданням Кабміну  у Законі про Державний бюджет України. При обговоренні розміру мінімальної зарплати на наступний бюджетний рік враховуються пропозиції, вироблені шляхом переговорів спільного представницького органу об’єднань профспілок і спільного представницького органу об’єднань організацій роботодавців на національному рівні. Розмір мінімальної заробітної плати не може бути нижче за прожитковий мінімум для працездатних осіб, встановлений на відповідний бюджетний  рік (ст. 10 Закону про оплату праці, ст.. 95 КЗпП).</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Мінімальна заробітна плата є державною соціальною гарантією, обов`язковою до виконання  на усій території України для усіх роботодавців (підприємств усіх форм власності та господарювання а також для фізичних осіб, що використовують найману працю), за будь-якою системою оплати праці.</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Розмір нарахованої заробітної плати працівника за повністю виконану місячну (годинну) норму праці не може бути нижчим за розмір затвердженої на конкретний період мінімальної зарплати.  При цьому, при обчисленні зарплати для забезпечення її мінімального розміру не враховуються доплати за роботу в несприятливих умовах праці та підвищеного ризику, за роз’їзний характер робіт, премії, доплати, інші заохочувальні та компенсаційні виплати. Якщо нарахована заробітна плата за місяць менше її мінімального розміру, роботодавець зобов’язаний здійснити доплату до рівня мінімальної зарплати. Якщо працівник працює на умовах неповного робочого часу і, в результаті, нарахована зарплата за місяць менше за мінімальну, доплата такому працівнику не здійснюється (ст.. 31 Закону про оплату праці).</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bCs/>
          <w:color w:val="333333"/>
          <w:sz w:val="24"/>
          <w:szCs w:val="24"/>
          <w:lang w:val="uk-UA" w:eastAsia="ru-RU"/>
        </w:rPr>
        <w:t>За недотримання мінімальних державних гарантій в оплаті праці передбачено штраф для роботодавців у 10-кратному розмірі мінімальної зарплати</w:t>
      </w:r>
      <w:r w:rsidRPr="0088636D">
        <w:rPr>
          <w:rFonts w:ascii="Times New Roman" w:eastAsia="Times New Roman" w:hAnsi="Times New Roman" w:cs="Times New Roman"/>
          <w:color w:val="333333"/>
          <w:sz w:val="24"/>
          <w:szCs w:val="24"/>
          <w:lang w:val="uk-UA" w:eastAsia="ru-RU"/>
        </w:rPr>
        <w:t>, установленої законом на момент виявлення порушення, за кожного працівника, щодо якого скоєно порушення (абз. 5 ст. 265 КЗпП).  </w:t>
      </w:r>
    </w:p>
    <w:p w:rsidR="0088636D" w:rsidRPr="0088636D" w:rsidRDefault="0088636D" w:rsidP="0088636D">
      <w:pPr>
        <w:shd w:val="clear" w:color="auto" w:fill="FFFFFF"/>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val="uk-UA" w:eastAsia="ru-RU"/>
        </w:rPr>
      </w:pPr>
    </w:p>
    <w:p w:rsidR="0088636D" w:rsidRPr="0088636D" w:rsidRDefault="0088636D" w:rsidP="0088636D">
      <w:pPr>
        <w:shd w:val="clear" w:color="auto" w:fill="FFFFFF"/>
        <w:spacing w:after="0" w:line="240" w:lineRule="auto"/>
        <w:ind w:firstLine="300"/>
        <w:textAlignment w:val="baseline"/>
        <w:rPr>
          <w:rFonts w:ascii="Times New Roman" w:eastAsia="Times New Roman" w:hAnsi="Times New Roman" w:cs="Times New Roman"/>
          <w:color w:val="000000"/>
          <w:sz w:val="24"/>
          <w:szCs w:val="24"/>
          <w:bdr w:val="none" w:sz="0" w:space="0" w:color="auto" w:frame="1"/>
          <w:lang w:val="uk-UA" w:eastAsia="ru-RU"/>
        </w:rPr>
      </w:pPr>
      <w:r w:rsidRPr="0088636D">
        <w:rPr>
          <w:rFonts w:ascii="Times New Roman" w:eastAsia="Times New Roman" w:hAnsi="Times New Roman" w:cs="Times New Roman"/>
          <w:noProof/>
          <w:color w:val="000000"/>
          <w:sz w:val="24"/>
          <w:szCs w:val="24"/>
          <w:bdr w:val="none" w:sz="0" w:space="0" w:color="auto" w:frame="1"/>
          <w:lang w:val="uk-UA" w:eastAsia="uk-UA"/>
        </w:rPr>
        <w:lastRenderedPageBreak/>
        <w:drawing>
          <wp:inline distT="0" distB="0" distL="0" distR="0" wp14:anchorId="50734C99" wp14:editId="724E7553">
            <wp:extent cx="6296660" cy="153225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296660" cy="1532255"/>
                    </a:xfrm>
                    <a:prstGeom prst="rect">
                      <a:avLst/>
                    </a:prstGeom>
                    <a:noFill/>
                    <a:ln>
                      <a:noFill/>
                    </a:ln>
                  </pic:spPr>
                </pic:pic>
              </a:graphicData>
            </a:graphic>
          </wp:inline>
        </w:drawing>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color w:val="333333"/>
          <w:sz w:val="24"/>
          <w:szCs w:val="24"/>
          <w:lang w:val="uk-UA" w:eastAsia="ru-RU"/>
        </w:rPr>
      </w:pPr>
      <w:r w:rsidRPr="0088636D">
        <w:rPr>
          <w:rFonts w:ascii="Times New Roman" w:eastAsia="Times New Roman" w:hAnsi="Times New Roman" w:cs="Times New Roman"/>
          <w:color w:val="333333"/>
          <w:sz w:val="24"/>
          <w:szCs w:val="24"/>
          <w:lang w:val="uk-UA" w:eastAsia="ru-RU"/>
        </w:rPr>
        <w:t>Мінімальну заробітну плату в місячному та погодинному розмірі на 2022 рік установлено ст. 8 Закону про держбюджет-6700 грн</w:t>
      </w:r>
    </w:p>
    <w:p w:rsidR="0088636D" w:rsidRPr="0088636D" w:rsidRDefault="0088636D" w:rsidP="0088636D">
      <w:pPr>
        <w:suppressAutoHyphens/>
        <w:spacing w:after="0" w:line="240" w:lineRule="auto"/>
        <w:jc w:val="both"/>
        <w:rPr>
          <w:rFonts w:ascii="Times New Roman" w:eastAsia="Times New Roman" w:hAnsi="Times New Roman" w:cs="Times New Roman"/>
          <w:b/>
          <w:bCs/>
          <w:iCs/>
          <w:sz w:val="24"/>
          <w:szCs w:val="24"/>
          <w:lang w:val="uk-UA" w:eastAsia="ar-SA"/>
        </w:rPr>
      </w:pP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val="uk-UA" w:eastAsia="uk-UA"/>
        </w:rPr>
      </w:pPr>
      <w:r w:rsidRPr="0088636D">
        <w:rPr>
          <w:rFonts w:ascii="Times New Roman" w:eastAsia="Times New Roman" w:hAnsi="Times New Roman" w:cs="Times New Roman"/>
          <w:b/>
          <w:bCs/>
          <w:color w:val="000000"/>
          <w:sz w:val="24"/>
          <w:szCs w:val="24"/>
          <w:lang w:val="uk-UA" w:eastAsia="uk-UA"/>
        </w:rPr>
        <w:t>Загальне матеріальне та навально-методичне забезпечення лекції:</w:t>
      </w:r>
    </w:p>
    <w:p w:rsidR="0088636D" w:rsidRPr="0088636D" w:rsidRDefault="0088636D" w:rsidP="008512F9">
      <w:pPr>
        <w:numPr>
          <w:ilvl w:val="0"/>
          <w:numId w:val="5"/>
        </w:numPr>
        <w:suppressAutoHyphens/>
        <w:spacing w:after="0" w:line="240" w:lineRule="auto"/>
        <w:ind w:left="0" w:firstLine="0"/>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лекційна аудиторія (очна форма навчання)</w:t>
      </w:r>
    </w:p>
    <w:p w:rsidR="0088636D" w:rsidRPr="0088636D" w:rsidRDefault="0088636D" w:rsidP="0088636D">
      <w:pPr>
        <w:numPr>
          <w:ilvl w:val="0"/>
          <w:numId w:val="3"/>
        </w:numPr>
        <w:tabs>
          <w:tab w:val="num" w:pos="1440"/>
        </w:tabs>
        <w:suppressAutoHyphens/>
        <w:spacing w:after="0" w:line="240" w:lineRule="auto"/>
        <w:ind w:left="0" w:firstLine="0"/>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 xml:space="preserve">навчальний клас на платформі </w:t>
      </w:r>
      <w:r w:rsidRPr="0088636D">
        <w:rPr>
          <w:rFonts w:ascii="Times New Roman" w:eastAsia="Times New Roman" w:hAnsi="Times New Roman" w:cs="Times New Roman"/>
          <w:color w:val="000000"/>
          <w:sz w:val="24"/>
          <w:szCs w:val="24"/>
          <w:lang w:val="en-US" w:eastAsia="ru-RU"/>
        </w:rPr>
        <w:t>MS</w:t>
      </w:r>
      <w:r w:rsidRPr="0088636D">
        <w:rPr>
          <w:rFonts w:ascii="Times New Roman" w:eastAsia="Times New Roman" w:hAnsi="Times New Roman" w:cs="Times New Roman"/>
          <w:color w:val="000000"/>
          <w:sz w:val="24"/>
          <w:szCs w:val="24"/>
          <w:lang w:val="uk-UA" w:eastAsia="ru-RU"/>
        </w:rPr>
        <w:t xml:space="preserve"> </w:t>
      </w:r>
      <w:r w:rsidRPr="0088636D">
        <w:rPr>
          <w:rFonts w:ascii="Times New Roman" w:eastAsia="Times New Roman" w:hAnsi="Times New Roman" w:cs="Times New Roman"/>
          <w:color w:val="000000"/>
          <w:sz w:val="24"/>
          <w:szCs w:val="24"/>
          <w:lang w:val="en-US" w:eastAsia="ru-RU"/>
        </w:rPr>
        <w:t>Teams</w:t>
      </w:r>
      <w:r w:rsidRPr="0088636D">
        <w:rPr>
          <w:rFonts w:ascii="Times New Roman" w:eastAsia="Times New Roman" w:hAnsi="Times New Roman" w:cs="Times New Roman"/>
          <w:color w:val="000000"/>
          <w:sz w:val="24"/>
          <w:szCs w:val="24"/>
          <w:lang w:val="uk-UA" w:eastAsia="ru-RU"/>
        </w:rPr>
        <w:t xml:space="preserve"> (дистанційна форма навчання)</w:t>
      </w:r>
    </w:p>
    <w:p w:rsidR="0088636D" w:rsidRPr="0088636D" w:rsidRDefault="0088636D" w:rsidP="0088636D">
      <w:pPr>
        <w:numPr>
          <w:ilvl w:val="0"/>
          <w:numId w:val="3"/>
        </w:numPr>
        <w:suppressAutoHyphens/>
        <w:spacing w:after="0" w:line="240" w:lineRule="auto"/>
        <w:ind w:left="0" w:firstLine="0"/>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 xml:space="preserve"> </w:t>
      </w:r>
      <w:r w:rsidRPr="0088636D">
        <w:rPr>
          <w:rFonts w:ascii="Times New Roman" w:eastAsia="Times New Roman" w:hAnsi="Times New Roman" w:cs="Times New Roman"/>
          <w:b/>
          <w:color w:val="000000"/>
          <w:sz w:val="24"/>
          <w:szCs w:val="24"/>
          <w:lang w:val="uk-UA" w:eastAsia="ar-SA"/>
        </w:rPr>
        <w:t>обладнання:</w:t>
      </w:r>
    </w:p>
    <w:p w:rsidR="0088636D" w:rsidRPr="0088636D" w:rsidRDefault="0088636D" w:rsidP="0088636D">
      <w:pPr>
        <w:suppressAutoHyphens/>
        <w:spacing w:after="0" w:line="240" w:lineRule="auto"/>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мультимедійний проектор</w:t>
      </w:r>
    </w:p>
    <w:p w:rsidR="0088636D" w:rsidRPr="0088636D" w:rsidRDefault="0088636D" w:rsidP="0088636D">
      <w:pPr>
        <w:numPr>
          <w:ilvl w:val="0"/>
          <w:numId w:val="3"/>
        </w:numPr>
        <w:suppressAutoHyphens/>
        <w:spacing w:after="0" w:line="240" w:lineRule="auto"/>
        <w:ind w:left="0" w:firstLine="0"/>
        <w:jc w:val="both"/>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 xml:space="preserve"> устаткування:</w:t>
      </w:r>
    </w:p>
    <w:p w:rsidR="0088636D" w:rsidRPr="0088636D" w:rsidRDefault="0088636D" w:rsidP="0088636D">
      <w:pPr>
        <w:suppressAutoHyphens/>
        <w:spacing w:after="0" w:line="240" w:lineRule="auto"/>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персональний комп’ютер</w:t>
      </w:r>
    </w:p>
    <w:p w:rsidR="0088636D" w:rsidRPr="0088636D" w:rsidRDefault="0088636D" w:rsidP="0088636D">
      <w:pPr>
        <w:numPr>
          <w:ilvl w:val="0"/>
          <w:numId w:val="3"/>
        </w:numPr>
        <w:suppressAutoHyphens/>
        <w:spacing w:after="0" w:line="240" w:lineRule="auto"/>
        <w:ind w:left="0" w:firstLine="0"/>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ілюстративні матеріали:</w:t>
      </w:r>
    </w:p>
    <w:p w:rsidR="0088636D" w:rsidRPr="0088636D" w:rsidRDefault="0088636D" w:rsidP="0088636D">
      <w:pPr>
        <w:numPr>
          <w:ilvl w:val="0"/>
          <w:numId w:val="3"/>
        </w:numPr>
        <w:suppressAutoHyphens/>
        <w:spacing w:after="0" w:line="240" w:lineRule="auto"/>
        <w:ind w:left="0" w:firstLine="0"/>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мультимедійна презентація</w:t>
      </w: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eastAsia="ru-RU"/>
        </w:rPr>
      </w:pPr>
      <w:r w:rsidRPr="0088636D">
        <w:rPr>
          <w:rFonts w:ascii="Times New Roman" w:eastAsia="Times New Roman" w:hAnsi="Times New Roman" w:cs="Times New Roman"/>
          <w:color w:val="000000"/>
          <w:sz w:val="24"/>
          <w:szCs w:val="24"/>
          <w:lang w:eastAsia="ru-RU"/>
        </w:rPr>
        <w:t> </w:t>
      </w:r>
    </w:p>
    <w:p w:rsidR="0088636D" w:rsidRPr="0088636D" w:rsidRDefault="0088636D" w:rsidP="0088636D">
      <w:pPr>
        <w:spacing w:after="0" w:line="240" w:lineRule="auto"/>
        <w:rPr>
          <w:rFonts w:ascii="Times New Roman" w:eastAsia="Times New Roman" w:hAnsi="Times New Roman" w:cs="Times New Roman"/>
          <w:color w:val="000000"/>
          <w:sz w:val="24"/>
          <w:szCs w:val="24"/>
          <w:lang w:eastAsia="ru-RU"/>
        </w:rPr>
      </w:pPr>
      <w:r w:rsidRPr="0088636D">
        <w:rPr>
          <w:rFonts w:ascii="Times New Roman" w:eastAsia="Times New Roman" w:hAnsi="Times New Roman" w:cs="Times New Roman"/>
          <w:b/>
          <w:bCs/>
          <w:color w:val="000000"/>
          <w:sz w:val="24"/>
          <w:szCs w:val="24"/>
          <w:lang w:eastAsia="ru-RU"/>
        </w:rPr>
        <w:t>Питання для самоконтролю:</w:t>
      </w:r>
    </w:p>
    <w:p w:rsidR="0088636D" w:rsidRPr="0088636D" w:rsidRDefault="0088636D" w:rsidP="008512F9">
      <w:pPr>
        <w:numPr>
          <w:ilvl w:val="0"/>
          <w:numId w:val="10"/>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Які нормативно-правові документи регулюють права фармацевтичного працівника?</w:t>
      </w:r>
    </w:p>
    <w:p w:rsidR="0088636D" w:rsidRPr="0088636D" w:rsidRDefault="0088636D" w:rsidP="008512F9">
      <w:pPr>
        <w:numPr>
          <w:ilvl w:val="0"/>
          <w:numId w:val="10"/>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Надайте класифікацію державних соціальних стандартів?</w:t>
      </w:r>
    </w:p>
    <w:p w:rsidR="0088636D" w:rsidRPr="0088636D" w:rsidRDefault="0088636D" w:rsidP="008512F9">
      <w:pPr>
        <w:numPr>
          <w:ilvl w:val="0"/>
          <w:numId w:val="10"/>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Який розмір прожиткового мінімуму встановлено на 2022 рік?</w:t>
      </w:r>
    </w:p>
    <w:p w:rsidR="0088636D" w:rsidRPr="0088636D" w:rsidRDefault="0088636D" w:rsidP="008512F9">
      <w:pPr>
        <w:numPr>
          <w:ilvl w:val="0"/>
          <w:numId w:val="10"/>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 яких випадках оплата праці буду нижчою за мінімальний розмір?</w:t>
      </w:r>
    </w:p>
    <w:p w:rsidR="0088636D" w:rsidRPr="0088636D" w:rsidRDefault="0088636D" w:rsidP="008512F9">
      <w:pPr>
        <w:numPr>
          <w:ilvl w:val="0"/>
          <w:numId w:val="10"/>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Яка відповідальність настає щодо работадавця у випадку нарахування дохуду нижчого за мінімальну заробітну плату?</w:t>
      </w:r>
    </w:p>
    <w:p w:rsidR="0088636D" w:rsidRPr="0088636D" w:rsidRDefault="0088636D" w:rsidP="0088636D">
      <w:pPr>
        <w:shd w:val="clear" w:color="auto" w:fill="FFFFFF"/>
        <w:tabs>
          <w:tab w:val="left" w:pos="0"/>
        </w:tabs>
        <w:spacing w:after="0" w:line="240" w:lineRule="auto"/>
        <w:ind w:left="720"/>
        <w:contextualSpacing/>
        <w:jc w:val="both"/>
        <w:rPr>
          <w:rFonts w:ascii="Times New Roman" w:eastAsia="Times New Roman" w:hAnsi="Times New Roman" w:cs="Times New Roman"/>
          <w:sz w:val="24"/>
          <w:szCs w:val="24"/>
          <w:lang w:val="uk-UA" w:eastAsia="ar-SA"/>
        </w:rPr>
      </w:pPr>
    </w:p>
    <w:p w:rsidR="0088636D" w:rsidRPr="0088636D" w:rsidRDefault="0088636D" w:rsidP="0088636D">
      <w:pPr>
        <w:shd w:val="clear" w:color="auto" w:fill="FFFFFF"/>
        <w:tabs>
          <w:tab w:val="left" w:pos="0"/>
        </w:tabs>
        <w:spacing w:after="0" w:line="240" w:lineRule="auto"/>
        <w:contextualSpacing/>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Тести для самоконтролю:</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1. </w:t>
      </w:r>
      <w:r w:rsidRPr="0088636D">
        <w:rPr>
          <w:rFonts w:ascii="Times New Roman" w:eastAsia="Times New Roman" w:hAnsi="Times New Roman" w:cs="Times New Roman"/>
          <w:sz w:val="24"/>
          <w:szCs w:val="24"/>
          <w:lang w:eastAsia="ar-SA"/>
        </w:rPr>
        <w:t>Який з перелічених платежів не відноситься до соціального страхування: </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пенсія;</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стипендія;</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допомога на випадок безробіття;</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допомога у зв’язку із тимчасовою втратою працездатності.</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val="uk-UA" w:eastAsia="ar-SA"/>
        </w:rPr>
        <w:t>2</w:t>
      </w:r>
      <w:r w:rsidRPr="0088636D">
        <w:rPr>
          <w:rFonts w:ascii="Times New Roman" w:eastAsia="Times New Roman" w:hAnsi="Times New Roman" w:cs="Times New Roman"/>
          <w:sz w:val="24"/>
          <w:szCs w:val="24"/>
          <w:lang w:eastAsia="ar-SA"/>
        </w:rPr>
        <w:t>. Встановлені законами мінімальні розміри оплати праці, доходів громадян, пенсійного забезпечення, соціальної допомоги, розміри інших видів соціальних виплат, що забезпечують рівень життя, не нижчий від прожиткового мінімуму, – це:</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соціальні стандарти;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соціальні норми і нормативи;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соціальні гарантії;</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соціальні пільги.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5. Встановлені законами, іншими нормативно-правовими актами соціальні норми і нормативи або їх комплекс, на базі яких визначаються рівні основних державних соціальних гарантій, - це:</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соціальні стандарти;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соціальні норми і нормативи;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соціальні гарантії;</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соціальні пільги.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6. Показники необхідного споживання продуктів харчування, непродовольчих товарів і послуг та забезпечення освітніми, медичними, житлово-комунальними, соціально-культурними послугами, - це:</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соціальні стандарти;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lastRenderedPageBreak/>
        <w:t>б) соціальні норми і нормативи;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соціальні гарантії;</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соціальні пільги.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7.</w:t>
      </w: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t>Вартісна величина достатнього для забезпечення нормального функціонування організму людини, збереження його здоров'я набору продуктів харчування, а також мінімального набору непродовольчих товарів та мінімального набору послуг, необхідних для задоволення основних соціальних і культурних потреб особистості, це:</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середня заробітна плата;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соціальні норма;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соціальна допомога;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прожитковий мінімум.</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8.</w:t>
      </w: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t>Базовий соціальний стандарт – це:</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середня заробітна плата;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соціальні норма;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соціальна допомога;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прожитковий мінімум.</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9. Соціальний захист не здійснюється в такій організаційно-правовій формі, як:</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спеціальний соціальний захист;</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загальнообов’язкове державне соціальне страхування;</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державна соціальна допомога;</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соціальна саморегуляція.</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10. Прожитковий мінімум на одну особу, а також окремо для тих, хто відноситься до основних соціальних і демографічних груп населення, затверджується Верховною Радою України:</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 щоденно;</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 щомісячно;</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 щоквартально;</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г) щорічно.</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11. Прожитковий мінімум не існує для наступних соціально-демографічних груп:</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а)дітей віком до 6 років;</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б)дітей віком від 6 до 18 років;</w:t>
      </w:r>
    </w:p>
    <w:p w:rsidR="0088636D" w:rsidRPr="0088636D" w:rsidRDefault="0088636D" w:rsidP="0088636D">
      <w:pPr>
        <w:suppressAutoHyphens/>
        <w:spacing w:after="0" w:line="240" w:lineRule="auto"/>
        <w:ind w:left="360"/>
        <w:jc w:val="both"/>
        <w:rPr>
          <w:rFonts w:ascii="Times New Roman" w:eastAsia="Times New Roman" w:hAnsi="Times New Roman" w:cs="Times New Roman"/>
          <w:sz w:val="24"/>
          <w:szCs w:val="24"/>
          <w:lang w:eastAsia="ar-SA"/>
        </w:rPr>
      </w:pPr>
      <w:r w:rsidRPr="0088636D">
        <w:rPr>
          <w:rFonts w:ascii="Times New Roman" w:eastAsia="Times New Roman" w:hAnsi="Times New Roman" w:cs="Times New Roman"/>
          <w:sz w:val="24"/>
          <w:szCs w:val="24"/>
          <w:lang w:eastAsia="ar-SA"/>
        </w:rPr>
        <w:t>в)працездатних осіб;</w:t>
      </w:r>
    </w:p>
    <w:p w:rsidR="0088636D" w:rsidRPr="0088636D" w:rsidRDefault="0088636D" w:rsidP="0088636D">
      <w:pPr>
        <w:spacing w:after="0" w:line="240" w:lineRule="auto"/>
        <w:rPr>
          <w:rFonts w:ascii="Times New Roman" w:eastAsia="Times New Roman" w:hAnsi="Times New Roman" w:cs="Times New Roman"/>
          <w:color w:val="000000"/>
          <w:sz w:val="24"/>
          <w:szCs w:val="24"/>
          <w:lang w:val="uk-UA" w:eastAsia="ru-RU"/>
        </w:rPr>
      </w:pPr>
    </w:p>
    <w:p w:rsidR="0088636D" w:rsidRPr="00FD60CF" w:rsidRDefault="0088636D" w:rsidP="0088636D">
      <w:pPr>
        <w:spacing w:after="0" w:line="240" w:lineRule="auto"/>
        <w:rPr>
          <w:rFonts w:ascii="Times New Roman" w:eastAsia="Times New Roman" w:hAnsi="Times New Roman" w:cs="Times New Roman"/>
          <w:b/>
          <w:bCs/>
          <w:color w:val="000000"/>
          <w:sz w:val="24"/>
          <w:szCs w:val="24"/>
          <w:lang w:eastAsia="ru-RU"/>
        </w:rPr>
      </w:pPr>
      <w:r w:rsidRPr="00FD60CF">
        <w:rPr>
          <w:rFonts w:ascii="Times New Roman" w:eastAsia="Times New Roman" w:hAnsi="Times New Roman" w:cs="Times New Roman"/>
          <w:b/>
          <w:bCs/>
          <w:color w:val="000000"/>
          <w:sz w:val="24"/>
          <w:szCs w:val="24"/>
          <w:lang w:eastAsia="ru-RU"/>
        </w:rPr>
        <w:t>Список використаних джерел:</w:t>
      </w:r>
    </w:p>
    <w:p w:rsidR="00FD60CF" w:rsidRPr="00FD60CF" w:rsidRDefault="00FD60CF" w:rsidP="00FD60CF">
      <w:pPr>
        <w:tabs>
          <w:tab w:val="left" w:pos="0"/>
        </w:tabs>
        <w:jc w:val="both"/>
        <w:rPr>
          <w:rFonts w:ascii="Times New Roman" w:hAnsi="Times New Roman" w:cs="Times New Roman"/>
          <w:b/>
          <w:sz w:val="24"/>
          <w:szCs w:val="24"/>
          <w:lang w:val="uk-UA"/>
        </w:rPr>
      </w:pPr>
      <w:r w:rsidRPr="00FD60CF">
        <w:rPr>
          <w:rFonts w:ascii="Times New Roman" w:hAnsi="Times New Roman" w:cs="Times New Roman"/>
          <w:b/>
          <w:sz w:val="24"/>
          <w:szCs w:val="24"/>
          <w:lang w:val="uk-UA"/>
        </w:rPr>
        <w:t>Основна література:</w:t>
      </w:r>
    </w:p>
    <w:p w:rsidR="00FD60CF" w:rsidRPr="00FD60CF" w:rsidRDefault="00FD60CF" w:rsidP="008512F9">
      <w:pPr>
        <w:pStyle w:val="21"/>
        <w:numPr>
          <w:ilvl w:val="0"/>
          <w:numId w:val="39"/>
        </w:numPr>
        <w:jc w:val="both"/>
        <w:rPr>
          <w:sz w:val="24"/>
          <w:szCs w:val="24"/>
        </w:rPr>
      </w:pPr>
      <w:r w:rsidRPr="00FD60CF">
        <w:rPr>
          <w:sz w:val="24"/>
          <w:szCs w:val="24"/>
          <w:lang w:val="ru-RU"/>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w:t>
      </w:r>
      <w:hyperlink r:id="rId50" w:history="1">
        <w:r w:rsidRPr="00FD60CF">
          <w:rPr>
            <w:rStyle w:val="a6"/>
            <w:sz w:val="24"/>
            <w:szCs w:val="24"/>
            <w:lang w:val="ru-RU"/>
          </w:rPr>
          <w:t>див.</w:t>
        </w:r>
      </w:hyperlink>
    </w:p>
    <w:p w:rsidR="00FD60CF" w:rsidRPr="00FD60CF" w:rsidRDefault="00FD60CF" w:rsidP="008512F9">
      <w:pPr>
        <w:pStyle w:val="21"/>
        <w:numPr>
          <w:ilvl w:val="0"/>
          <w:numId w:val="39"/>
        </w:numPr>
        <w:jc w:val="both"/>
        <w:rPr>
          <w:sz w:val="24"/>
          <w:szCs w:val="24"/>
        </w:rPr>
      </w:pPr>
      <w:r w:rsidRPr="00FD60CF">
        <w:rPr>
          <w:sz w:val="24"/>
          <w:szCs w:val="24"/>
        </w:rPr>
        <w:t xml:space="preserve">Голованова І.А., Бєлікова І.В., Ляхова Н.О. Організація та економіка охорони здоров'я: навч. посіб. – Полтава, 2021, 236 с. </w:t>
      </w:r>
      <w:hyperlink r:id="rId51" w:history="1">
        <w:r w:rsidRPr="00FD60CF">
          <w:rPr>
            <w:rStyle w:val="a6"/>
            <w:sz w:val="24"/>
            <w:szCs w:val="24"/>
          </w:rPr>
          <w:t>див.</w:t>
        </w:r>
      </w:hyperlink>
    </w:p>
    <w:p w:rsidR="00FD60CF" w:rsidRPr="00FD60CF" w:rsidRDefault="00FD60CF" w:rsidP="008512F9">
      <w:pPr>
        <w:pStyle w:val="21"/>
        <w:numPr>
          <w:ilvl w:val="0"/>
          <w:numId w:val="39"/>
        </w:numPr>
        <w:rPr>
          <w:sz w:val="24"/>
          <w:szCs w:val="24"/>
        </w:rPr>
      </w:pPr>
      <w:r w:rsidRPr="00FD60CF">
        <w:rPr>
          <w:sz w:val="24"/>
          <w:szCs w:val="24"/>
        </w:rPr>
        <w:t xml:space="preserve">СТ-Н МОЗУ 42-4.2:2011 Лікарські засоби. Управління ризиками для якості (ICH Q9) </w:t>
      </w:r>
    </w:p>
    <w:p w:rsidR="00FD60CF" w:rsidRPr="00FD60CF" w:rsidRDefault="00FD60CF" w:rsidP="008512F9">
      <w:pPr>
        <w:pStyle w:val="21"/>
        <w:numPr>
          <w:ilvl w:val="0"/>
          <w:numId w:val="39"/>
        </w:numPr>
        <w:jc w:val="both"/>
        <w:rPr>
          <w:sz w:val="24"/>
          <w:szCs w:val="24"/>
        </w:rPr>
      </w:pPr>
      <w:r w:rsidRPr="00FD60CF">
        <w:rPr>
          <w:sz w:val="24"/>
          <w:szCs w:val="24"/>
        </w:rPr>
        <w:t xml:space="preserve">Паліативна допомога : організаційні, фармацевтичні та клінічні аспекти знеболення (навчальний посібник). Київ 2019. 138 с. </w:t>
      </w:r>
      <w:hyperlink r:id="rId52" w:history="1">
        <w:r w:rsidRPr="00FD60CF">
          <w:rPr>
            <w:rStyle w:val="a6"/>
            <w:sz w:val="24"/>
            <w:szCs w:val="24"/>
          </w:rPr>
          <w:t>див.</w:t>
        </w:r>
      </w:hyperlink>
    </w:p>
    <w:p w:rsidR="00FD60CF" w:rsidRPr="00FD60CF" w:rsidRDefault="00FD60CF" w:rsidP="008512F9">
      <w:pPr>
        <w:pStyle w:val="a8"/>
        <w:numPr>
          <w:ilvl w:val="0"/>
          <w:numId w:val="39"/>
        </w:numPr>
        <w:tabs>
          <w:tab w:val="left" w:pos="0"/>
        </w:tabs>
        <w:suppressAutoHyphens/>
        <w:jc w:val="both"/>
      </w:pPr>
      <w:r w:rsidRPr="00FD60CF">
        <w:t xml:space="preserve">Борщ В.І., Рудінська О.В., Кусик Н.Л. Менеджмент та маркетинг в охороні здоровʼя: навчальний посібник. Херсон: Олді+, 2022. 264 с. </w:t>
      </w:r>
    </w:p>
    <w:p w:rsidR="00FD60CF" w:rsidRPr="00FD60CF" w:rsidRDefault="00FD60CF" w:rsidP="008512F9">
      <w:pPr>
        <w:pStyle w:val="a8"/>
        <w:numPr>
          <w:ilvl w:val="0"/>
          <w:numId w:val="39"/>
        </w:numPr>
        <w:tabs>
          <w:tab w:val="left" w:pos="0"/>
        </w:tabs>
        <w:suppressAutoHyphens/>
        <w:jc w:val="both"/>
      </w:pPr>
      <w:r w:rsidRPr="00FD60CF">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w:t>
      </w:r>
      <w:r w:rsidRPr="00FD60CF">
        <w:lastRenderedPageBreak/>
        <w:t xml:space="preserve">Національний медичний університет імені О.О. Богомольця. Київ: 2023. 1289 с. URL: http://ir.librarynmu.com/handle/123456789/7203 </w:t>
      </w:r>
    </w:p>
    <w:p w:rsidR="00FD60CF" w:rsidRPr="00FD60CF" w:rsidRDefault="00FD60CF" w:rsidP="008512F9">
      <w:pPr>
        <w:pStyle w:val="a8"/>
        <w:numPr>
          <w:ilvl w:val="0"/>
          <w:numId w:val="39"/>
        </w:numPr>
        <w:tabs>
          <w:tab w:val="left" w:pos="0"/>
        </w:tabs>
        <w:suppressAutoHyphens/>
        <w:jc w:val="both"/>
      </w:pPr>
      <w:r w:rsidRPr="00FD60CF">
        <w:t>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https://ela.kpi.ua/items/564de540-fd83-4995-b1b4-505e456fc246</w:t>
      </w:r>
    </w:p>
    <w:p w:rsidR="00FD60CF" w:rsidRPr="00FD60CF" w:rsidRDefault="00FD60CF" w:rsidP="00FD60CF">
      <w:pPr>
        <w:pStyle w:val="21"/>
        <w:rPr>
          <w:b/>
          <w:sz w:val="24"/>
          <w:szCs w:val="24"/>
        </w:rPr>
      </w:pPr>
    </w:p>
    <w:p w:rsidR="00FD60CF" w:rsidRPr="00FD60CF" w:rsidRDefault="00FD60CF" w:rsidP="00FD60CF">
      <w:pPr>
        <w:pStyle w:val="21"/>
        <w:ind w:firstLine="360"/>
        <w:rPr>
          <w:b/>
          <w:sz w:val="24"/>
          <w:szCs w:val="24"/>
        </w:rPr>
      </w:pPr>
      <w:r w:rsidRPr="00FD60CF">
        <w:rPr>
          <w:b/>
          <w:sz w:val="24"/>
          <w:szCs w:val="24"/>
        </w:rPr>
        <w:t>Додаткова література:</w:t>
      </w:r>
    </w:p>
    <w:p w:rsidR="00FD60CF" w:rsidRPr="00FD60CF" w:rsidRDefault="00FD60CF" w:rsidP="008512F9">
      <w:pPr>
        <w:pStyle w:val="a8"/>
        <w:numPr>
          <w:ilvl w:val="0"/>
          <w:numId w:val="40"/>
        </w:numPr>
        <w:tabs>
          <w:tab w:val="left" w:pos="0"/>
        </w:tabs>
        <w:suppressAutoHyphens/>
        <w:jc w:val="both"/>
      </w:pPr>
      <w:r w:rsidRPr="00FD60CF">
        <w:t>Фармакоекономіка: навч. посіб. для студ. вищ. навч. закл. ІІІ-ІV рівнів акредитації/ Яковлєва Л. В. та ін.; за ред. Л. В. Яковлєвої. Вінниця: Нова книга, 2017. 207 с.</w:t>
      </w:r>
    </w:p>
    <w:p w:rsidR="00FD60CF" w:rsidRPr="00FD60CF" w:rsidRDefault="00FD60CF" w:rsidP="008512F9">
      <w:pPr>
        <w:pStyle w:val="a8"/>
        <w:numPr>
          <w:ilvl w:val="0"/>
          <w:numId w:val="40"/>
        </w:numPr>
        <w:tabs>
          <w:tab w:val="left" w:pos="0"/>
        </w:tabs>
        <w:suppressAutoHyphens/>
        <w:jc w:val="both"/>
      </w:pPr>
      <w:r w:rsidRPr="00FD60CF">
        <w:t>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w:t>
      </w:r>
      <w:r w:rsidRPr="00FD60CF">
        <w:rPr>
          <w:lang w:val="uk-UA"/>
        </w:rPr>
        <w:t xml:space="preserve"> </w:t>
      </w:r>
      <w:hyperlink r:id="rId53" w:history="1">
        <w:r w:rsidRPr="00FD60CF">
          <w:rPr>
            <w:rStyle w:val="a6"/>
            <w:lang w:val="uk-UA"/>
          </w:rPr>
          <w:t>див.</w:t>
        </w:r>
      </w:hyperlink>
    </w:p>
    <w:p w:rsidR="00FD60CF" w:rsidRPr="00FD60CF" w:rsidRDefault="00FD60CF" w:rsidP="008512F9">
      <w:pPr>
        <w:pStyle w:val="a8"/>
        <w:numPr>
          <w:ilvl w:val="0"/>
          <w:numId w:val="40"/>
        </w:numPr>
        <w:tabs>
          <w:tab w:val="left" w:pos="0"/>
        </w:tabs>
        <w:suppressAutoHyphens/>
        <w:jc w:val="both"/>
      </w:pPr>
      <w:r w:rsidRPr="00FD60CF">
        <w:t>Смірнова Г. В. Регулювання фармацевтичного ринку в контексті</w:t>
      </w:r>
      <w:r w:rsidRPr="00FD60CF">
        <w:rPr>
          <w:lang w:val="uk-UA"/>
        </w:rPr>
        <w:t xml:space="preserve"> </w:t>
      </w:r>
      <w:r w:rsidRPr="00FD60CF">
        <w:t>оптимізації соціального забезпечення населення. Регіональна економіка. 2021. С. 29-34.</w:t>
      </w:r>
      <w:r w:rsidRPr="00FD60CF">
        <w:rPr>
          <w:lang w:val="uk-UA"/>
        </w:rPr>
        <w:t xml:space="preserve"> </w:t>
      </w:r>
      <w:hyperlink r:id="rId54" w:history="1">
        <w:r w:rsidRPr="00FD60CF">
          <w:rPr>
            <w:rStyle w:val="a6"/>
            <w:lang w:val="uk-UA"/>
          </w:rPr>
          <w:t>див.</w:t>
        </w:r>
      </w:hyperlink>
    </w:p>
    <w:p w:rsidR="00FD60CF" w:rsidRPr="00FD60CF" w:rsidRDefault="00FD60CF" w:rsidP="008512F9">
      <w:pPr>
        <w:pStyle w:val="a8"/>
        <w:numPr>
          <w:ilvl w:val="0"/>
          <w:numId w:val="40"/>
        </w:numPr>
        <w:tabs>
          <w:tab w:val="left" w:pos="0"/>
        </w:tabs>
        <w:suppressAutoHyphens/>
        <w:jc w:val="both"/>
      </w:pPr>
      <w:r w:rsidRPr="00FD60CF">
        <w:t>Тарасюк М.Б., Паламар І.В., Орлова Н.М., Головчанська-Пушкар</w:t>
      </w:r>
      <w:r w:rsidRPr="00FD60CF">
        <w:rPr>
          <w:lang w:val="uk-UA"/>
        </w:rPr>
        <w:t xml:space="preserve"> </w:t>
      </w:r>
      <w:r w:rsidRPr="00FD60CF">
        <w:t>С.С., Клименюк В.П., Тодоренко Л.С. Тайм-менеджмент в роботі керівників</w:t>
      </w:r>
      <w:r w:rsidRPr="00FD60CF">
        <w:rPr>
          <w:lang w:val="uk-UA"/>
        </w:rPr>
        <w:t xml:space="preserve"> </w:t>
      </w:r>
      <w:r w:rsidRPr="00FD60CF">
        <w:t>аптечних закладів. Наукові інновації та передові технології. 2024. № 5 (33). С.</w:t>
      </w:r>
      <w:r w:rsidRPr="00FD60CF">
        <w:rPr>
          <w:lang w:val="uk-UA"/>
        </w:rPr>
        <w:t xml:space="preserve"> </w:t>
      </w:r>
      <w:r w:rsidRPr="00FD60CF">
        <w:t>411-424. DOI: https://doi.org/10.52058/2786-5274-2024-5(33)-411-424</w:t>
      </w:r>
    </w:p>
    <w:p w:rsidR="00FD60CF" w:rsidRPr="00FD60CF" w:rsidRDefault="00FD60CF" w:rsidP="008512F9">
      <w:pPr>
        <w:pStyle w:val="a8"/>
        <w:numPr>
          <w:ilvl w:val="0"/>
          <w:numId w:val="40"/>
        </w:numPr>
        <w:tabs>
          <w:tab w:val="left" w:pos="0"/>
        </w:tabs>
        <w:suppressAutoHyphens/>
        <w:jc w:val="both"/>
      </w:pPr>
      <w:r w:rsidRPr="00FD60CF">
        <w:t>Тарасюк М.Б., Байдюк І.А., Паламар І.В., Карпенко І.А., Пірвердієва</w:t>
      </w:r>
      <w:r w:rsidRPr="00FD60CF">
        <w:rPr>
          <w:lang w:val="uk-UA"/>
        </w:rPr>
        <w:t xml:space="preserve"> </w:t>
      </w:r>
      <w:r w:rsidRPr="00FD60CF">
        <w:t>І.С., Ткаченко О.В. Маркетингова діяльність всеукраїнської аптечної мережі</w:t>
      </w:r>
      <w:r w:rsidRPr="00FD60CF">
        <w:rPr>
          <w:lang w:val="uk-UA"/>
        </w:rPr>
        <w:t xml:space="preserve"> </w:t>
      </w:r>
      <w:r w:rsidRPr="00FD60CF">
        <w:t>«Подорожник» м. Вінниця. Вісник Вінницького національного медичного</w:t>
      </w:r>
      <w:r w:rsidRPr="00FD60CF">
        <w:rPr>
          <w:lang w:val="uk-UA"/>
        </w:rPr>
        <w:t xml:space="preserve"> </w:t>
      </w:r>
      <w:r w:rsidRPr="00FD60CF">
        <w:t>університету. 2023. Т. 27. № 4. С. 641-644 DOI: https://doi.org/10.31393/reportsvnmedical-2023-27(4)-19</w:t>
      </w:r>
    </w:p>
    <w:p w:rsidR="00FD60CF" w:rsidRPr="00FD60CF" w:rsidRDefault="00FD60CF" w:rsidP="008512F9">
      <w:pPr>
        <w:pStyle w:val="a8"/>
        <w:numPr>
          <w:ilvl w:val="0"/>
          <w:numId w:val="40"/>
        </w:numPr>
        <w:tabs>
          <w:tab w:val="left" w:pos="0"/>
        </w:tabs>
        <w:suppressAutoHyphens/>
        <w:jc w:val="both"/>
      </w:pPr>
      <w:r w:rsidRPr="00FD60CF">
        <w:t>Ткаченко Н. О., Городецька І. Я., Левицька О. Р. Аналіз підходів до</w:t>
      </w:r>
      <w:r w:rsidRPr="00FD60CF">
        <w:rPr>
          <w:lang w:val="uk-UA"/>
        </w:rPr>
        <w:t xml:space="preserve"> </w:t>
      </w:r>
      <w:r w:rsidRPr="00FD60CF">
        <w:t>складання соціальної звітності фармацевтичних підприємств. Актуальні</w:t>
      </w:r>
      <w:r w:rsidRPr="00FD60CF">
        <w:rPr>
          <w:lang w:val="uk-UA"/>
        </w:rPr>
        <w:t xml:space="preserve"> </w:t>
      </w:r>
      <w:r w:rsidRPr="00FD60CF">
        <w:t>питання фармацевтичної і медичної науки та практики. 2023. Т. 16, № 2. С. 186-193.</w:t>
      </w:r>
    </w:p>
    <w:p w:rsidR="00FD60CF" w:rsidRPr="00FD60CF" w:rsidRDefault="00FD60CF" w:rsidP="008512F9">
      <w:pPr>
        <w:pStyle w:val="a8"/>
        <w:numPr>
          <w:ilvl w:val="0"/>
          <w:numId w:val="40"/>
        </w:numPr>
        <w:tabs>
          <w:tab w:val="left" w:pos="0"/>
        </w:tabs>
        <w:suppressAutoHyphens/>
        <w:jc w:val="both"/>
      </w:pPr>
      <w:r w:rsidRPr="00FD60CF">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FD60CF" w:rsidRPr="00FD60CF" w:rsidRDefault="00FD60CF" w:rsidP="008512F9">
      <w:pPr>
        <w:pStyle w:val="a8"/>
        <w:numPr>
          <w:ilvl w:val="0"/>
          <w:numId w:val="40"/>
        </w:numPr>
        <w:tabs>
          <w:tab w:val="left" w:pos="0"/>
        </w:tabs>
        <w:suppressAutoHyphens/>
        <w:jc w:val="both"/>
      </w:pPr>
      <w:r w:rsidRPr="00FD60CF">
        <w:rPr>
          <w:lang w:val="uk-UA"/>
        </w:rPr>
        <w:t xml:space="preserve">Аналіз </w:t>
      </w:r>
      <w:r w:rsidRPr="00FD60CF">
        <w:t xml:space="preserve">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FD60CF" w:rsidRPr="00FD60CF" w:rsidRDefault="00FD60CF" w:rsidP="00FD60CF">
      <w:pPr>
        <w:ind w:left="709"/>
        <w:jc w:val="both"/>
        <w:rPr>
          <w:rFonts w:ascii="Times New Roman" w:hAnsi="Times New Roman" w:cs="Times New Roman"/>
          <w:b/>
          <w:sz w:val="24"/>
          <w:szCs w:val="24"/>
          <w:lang w:val="uk-UA"/>
        </w:rPr>
      </w:pPr>
    </w:p>
    <w:p w:rsidR="00FD60CF" w:rsidRPr="00FD60CF" w:rsidRDefault="00FD60CF" w:rsidP="00FD60CF">
      <w:pPr>
        <w:jc w:val="center"/>
        <w:rPr>
          <w:rFonts w:ascii="Times New Roman" w:hAnsi="Times New Roman" w:cs="Times New Roman"/>
          <w:b/>
          <w:sz w:val="24"/>
          <w:szCs w:val="24"/>
          <w:lang w:val="uk-UA"/>
        </w:rPr>
      </w:pPr>
      <w:r w:rsidRPr="00FD60CF">
        <w:rPr>
          <w:rFonts w:ascii="Times New Roman" w:hAnsi="Times New Roman" w:cs="Times New Roman"/>
          <w:b/>
          <w:sz w:val="24"/>
          <w:szCs w:val="24"/>
          <w:lang w:val="uk-UA"/>
        </w:rPr>
        <w:t>13. ЕЛЕКТРОННІ ІНФОРМАЦІЙНІ РЕСУРСИ</w:t>
      </w:r>
    </w:p>
    <w:p w:rsidR="00FD60CF" w:rsidRPr="00FD60CF" w:rsidRDefault="00FD60CF" w:rsidP="008512F9">
      <w:pPr>
        <w:pStyle w:val="a8"/>
        <w:numPr>
          <w:ilvl w:val="0"/>
          <w:numId w:val="41"/>
        </w:numPr>
        <w:suppressAutoHyphens/>
        <w:spacing w:before="7"/>
        <w:ind w:right="32"/>
        <w:jc w:val="both"/>
        <w:rPr>
          <w:lang w:val="uk-UA"/>
        </w:rPr>
      </w:pPr>
      <w:r w:rsidRPr="00FD60CF">
        <w:rPr>
          <w:lang w:val="uk-UA"/>
        </w:rPr>
        <w:t xml:space="preserve">Законодавство України [Електронний ресурс]. - Режим доступу:  </w:t>
      </w:r>
      <w:hyperlink r:id="rId55" w:history="1">
        <w:r w:rsidRPr="00FD60CF">
          <w:rPr>
            <w:rStyle w:val="a6"/>
            <w:lang w:val="uk-UA"/>
          </w:rPr>
          <w:t>https://zakon.rada.gov.ua/laws/show/</w:t>
        </w:r>
      </w:hyperlink>
    </w:p>
    <w:p w:rsidR="00FD60CF" w:rsidRPr="00FD60CF" w:rsidRDefault="00FD60CF" w:rsidP="008512F9">
      <w:pPr>
        <w:pStyle w:val="a8"/>
        <w:numPr>
          <w:ilvl w:val="0"/>
          <w:numId w:val="41"/>
        </w:numPr>
        <w:suppressAutoHyphens/>
        <w:spacing w:before="7"/>
        <w:ind w:right="32"/>
        <w:jc w:val="both"/>
        <w:rPr>
          <w:lang w:val="uk-UA"/>
        </w:rPr>
      </w:pPr>
      <w:r w:rsidRPr="00FD60CF">
        <w:rPr>
          <w:lang w:val="uk-UA"/>
        </w:rPr>
        <w:t xml:space="preserve">Міністерство охорони здоров’я України [Електронний ресурс]. - Режим доступу: </w:t>
      </w:r>
      <w:r w:rsidRPr="00FD60CF">
        <w:t xml:space="preserve"> </w:t>
      </w:r>
      <w:hyperlink r:id="rId56" w:history="1">
        <w:r w:rsidRPr="00FD60CF">
          <w:rPr>
            <w:rStyle w:val="a6"/>
            <w:lang w:val="uk-UA"/>
          </w:rPr>
          <w:t>https://moz.gov.ua/</w:t>
        </w:r>
      </w:hyperlink>
    </w:p>
    <w:p w:rsidR="00FD60CF" w:rsidRPr="00FD60CF" w:rsidRDefault="00FD60CF" w:rsidP="008512F9">
      <w:pPr>
        <w:pStyle w:val="a8"/>
        <w:numPr>
          <w:ilvl w:val="0"/>
          <w:numId w:val="41"/>
        </w:numPr>
        <w:suppressAutoHyphens/>
        <w:spacing w:before="7"/>
        <w:ind w:right="32"/>
        <w:jc w:val="both"/>
        <w:rPr>
          <w:lang w:val="uk-UA"/>
        </w:rPr>
      </w:pPr>
      <w:r w:rsidRPr="00FD60CF">
        <w:rPr>
          <w:lang w:val="uk-UA"/>
        </w:rPr>
        <w:t>Державна служба України з лікарських засобів та контролю за наркотиками (Держлікслужба)</w:t>
      </w:r>
      <w:r w:rsidRPr="00FD60CF">
        <w:rPr>
          <w:color w:val="1D1D1B"/>
          <w:shd w:val="clear" w:color="auto" w:fill="FFFFFF"/>
        </w:rPr>
        <w:t> </w:t>
      </w:r>
      <w:hyperlink r:id="rId57" w:history="1">
        <w:r w:rsidRPr="00FD60CF">
          <w:rPr>
            <w:rStyle w:val="a6"/>
            <w:lang w:val="uk-UA"/>
          </w:rPr>
          <w:t>https://www.dls.gov.ua/</w:t>
        </w:r>
      </w:hyperlink>
    </w:p>
    <w:p w:rsidR="00FD60CF" w:rsidRPr="00FD60CF" w:rsidRDefault="00FD60CF" w:rsidP="008512F9">
      <w:pPr>
        <w:pStyle w:val="a8"/>
        <w:numPr>
          <w:ilvl w:val="0"/>
          <w:numId w:val="41"/>
        </w:numPr>
        <w:suppressAutoHyphens/>
        <w:spacing w:before="7"/>
        <w:ind w:right="32"/>
        <w:jc w:val="both"/>
        <w:rPr>
          <w:lang w:val="uk-UA"/>
        </w:rPr>
      </w:pPr>
      <w:r w:rsidRPr="00FD60CF">
        <w:rPr>
          <w:lang w:val="uk-UA"/>
        </w:rPr>
        <w:t xml:space="preserve">Державний експертний центр МОЗ України </w:t>
      </w:r>
      <w:hyperlink r:id="rId58" w:history="1">
        <w:r w:rsidRPr="00FD60CF">
          <w:rPr>
            <w:rStyle w:val="a6"/>
            <w:lang w:val="uk-UA"/>
          </w:rPr>
          <w:t>https://www.dec.gov.ua/</w:t>
        </w:r>
      </w:hyperlink>
    </w:p>
    <w:p w:rsidR="00FD60CF" w:rsidRPr="00FD60CF" w:rsidRDefault="00FD60CF" w:rsidP="008512F9">
      <w:pPr>
        <w:pStyle w:val="a8"/>
        <w:numPr>
          <w:ilvl w:val="0"/>
          <w:numId w:val="41"/>
        </w:numPr>
        <w:suppressAutoHyphens/>
        <w:spacing w:before="7"/>
        <w:ind w:right="32"/>
        <w:jc w:val="both"/>
        <w:rPr>
          <w:lang w:val="uk-UA"/>
        </w:rPr>
      </w:pPr>
      <w:r w:rsidRPr="00FD60CF">
        <w:rPr>
          <w:lang w:val="uk-UA"/>
        </w:rPr>
        <w:t xml:space="preserve">Державний формуляр ЛЗ </w:t>
      </w:r>
      <w:hyperlink r:id="rId59" w:history="1">
        <w:r w:rsidRPr="00FD60CF">
          <w:rPr>
            <w:rStyle w:val="a6"/>
            <w:lang w:val="uk-UA"/>
          </w:rPr>
          <w:t>https://www.dec.gov.ua/materials/chinnij-vipusk-derzhavnogo-formulyara-likarskih-zasobiv/?role=ua</w:t>
        </w:r>
      </w:hyperlink>
    </w:p>
    <w:p w:rsidR="00FD60CF" w:rsidRPr="00FD60CF" w:rsidRDefault="00FD60CF" w:rsidP="008512F9">
      <w:pPr>
        <w:pStyle w:val="21"/>
        <w:numPr>
          <w:ilvl w:val="0"/>
          <w:numId w:val="41"/>
        </w:numPr>
        <w:jc w:val="both"/>
        <w:rPr>
          <w:sz w:val="24"/>
          <w:szCs w:val="24"/>
        </w:rPr>
      </w:pPr>
      <w:r w:rsidRPr="00FD60CF">
        <w:rPr>
          <w:sz w:val="24"/>
          <w:szCs w:val="24"/>
        </w:rPr>
        <w:t xml:space="preserve">Державний реєстр лікарських засобів України. [Електронний ресурс]. – Режим доступу: </w:t>
      </w:r>
      <w:hyperlink r:id="rId60" w:history="1">
        <w:r w:rsidRPr="00FD60CF">
          <w:rPr>
            <w:rStyle w:val="a6"/>
            <w:sz w:val="24"/>
            <w:szCs w:val="24"/>
          </w:rPr>
          <w:t>http://www.drlz.com.ua/ibp/ddsite.nsf/all/shlist?opendocument</w:t>
        </w:r>
      </w:hyperlink>
    </w:p>
    <w:p w:rsidR="00FD60CF" w:rsidRPr="00FD60CF" w:rsidRDefault="00FD60CF" w:rsidP="008512F9">
      <w:pPr>
        <w:pStyle w:val="21"/>
        <w:numPr>
          <w:ilvl w:val="0"/>
          <w:numId w:val="41"/>
        </w:numPr>
        <w:jc w:val="both"/>
        <w:rPr>
          <w:sz w:val="24"/>
          <w:szCs w:val="24"/>
        </w:rPr>
      </w:pPr>
      <w:r w:rsidRPr="00FD60CF">
        <w:rPr>
          <w:sz w:val="24"/>
          <w:szCs w:val="24"/>
        </w:rPr>
        <w:t>Compendium online. [Електронний ресурс]. – Режим доступу:</w:t>
      </w:r>
      <w:r w:rsidRPr="00FD60CF">
        <w:rPr>
          <w:sz w:val="24"/>
          <w:szCs w:val="24"/>
        </w:rPr>
        <w:br/>
      </w:r>
      <w:hyperlink r:id="rId61" w:history="1">
        <w:r w:rsidRPr="00FD60CF">
          <w:rPr>
            <w:rStyle w:val="a6"/>
            <w:sz w:val="24"/>
            <w:szCs w:val="24"/>
          </w:rPr>
          <w:t>https://compendium.com.ua/uk/</w:t>
        </w:r>
      </w:hyperlink>
      <w:r w:rsidRPr="00FD60CF">
        <w:rPr>
          <w:sz w:val="24"/>
          <w:szCs w:val="24"/>
        </w:rPr>
        <w:t xml:space="preserve"> </w:t>
      </w:r>
    </w:p>
    <w:p w:rsidR="00FD60CF" w:rsidRPr="00FD60CF" w:rsidRDefault="00FD60CF" w:rsidP="008512F9">
      <w:pPr>
        <w:pStyle w:val="21"/>
        <w:numPr>
          <w:ilvl w:val="0"/>
          <w:numId w:val="41"/>
        </w:numPr>
        <w:jc w:val="both"/>
        <w:rPr>
          <w:sz w:val="24"/>
          <w:szCs w:val="24"/>
        </w:rPr>
      </w:pPr>
      <w:r w:rsidRPr="00FD60CF">
        <w:rPr>
          <w:sz w:val="24"/>
          <w:szCs w:val="24"/>
        </w:rPr>
        <w:t>Щотижневик «Аптека» [Електронний ресурс]. – Режим доступу:</w:t>
      </w:r>
      <w:r w:rsidRPr="00FD60CF">
        <w:rPr>
          <w:sz w:val="24"/>
          <w:szCs w:val="24"/>
        </w:rPr>
        <w:br/>
      </w:r>
      <w:hyperlink r:id="rId62" w:history="1">
        <w:r w:rsidRPr="00FD60CF">
          <w:rPr>
            <w:rStyle w:val="a6"/>
            <w:sz w:val="24"/>
            <w:szCs w:val="24"/>
          </w:rPr>
          <w:t>https://www.apteka.ua/</w:t>
        </w:r>
      </w:hyperlink>
    </w:p>
    <w:p w:rsidR="00FD60CF" w:rsidRPr="00FD60CF" w:rsidRDefault="00FD60CF" w:rsidP="008512F9">
      <w:pPr>
        <w:pStyle w:val="21"/>
        <w:widowControl w:val="0"/>
        <w:numPr>
          <w:ilvl w:val="0"/>
          <w:numId w:val="41"/>
        </w:numPr>
        <w:jc w:val="both"/>
        <w:rPr>
          <w:sz w:val="24"/>
          <w:szCs w:val="24"/>
        </w:rPr>
      </w:pPr>
      <w:r w:rsidRPr="00FD60CF">
        <w:rPr>
          <w:sz w:val="24"/>
          <w:szCs w:val="24"/>
        </w:rPr>
        <w:lastRenderedPageBreak/>
        <w:t xml:space="preserve">Пошукова база ліків [Електронний ресурс]. – Режим доступу: </w:t>
      </w:r>
      <w:hyperlink r:id="rId63" w:history="1">
        <w:r w:rsidRPr="00FD60CF">
          <w:rPr>
            <w:rStyle w:val="a6"/>
            <w:sz w:val="24"/>
            <w:szCs w:val="24"/>
          </w:rPr>
          <w:t>https://tabletki.ua/</w:t>
        </w:r>
      </w:hyperlink>
    </w:p>
    <w:p w:rsidR="00FD60CF" w:rsidRPr="00FD60CF" w:rsidRDefault="00FD60CF" w:rsidP="008512F9">
      <w:pPr>
        <w:pStyle w:val="21"/>
        <w:widowControl w:val="0"/>
        <w:numPr>
          <w:ilvl w:val="0"/>
          <w:numId w:val="41"/>
        </w:numPr>
        <w:jc w:val="both"/>
        <w:rPr>
          <w:sz w:val="24"/>
          <w:szCs w:val="24"/>
        </w:rPr>
      </w:pPr>
      <w:r w:rsidRPr="00FD60CF">
        <w:rPr>
          <w:sz w:val="24"/>
          <w:szCs w:val="24"/>
        </w:rPr>
        <w:t>Пошукова база ліків [Електронний ресурс]. – Режим доступу:</w:t>
      </w:r>
      <w:r w:rsidRPr="00FD60CF">
        <w:rPr>
          <w:sz w:val="24"/>
          <w:szCs w:val="24"/>
        </w:rPr>
        <w:br/>
      </w:r>
      <w:hyperlink r:id="rId64" w:history="1">
        <w:r w:rsidRPr="00FD60CF">
          <w:rPr>
            <w:rStyle w:val="a6"/>
            <w:sz w:val="24"/>
            <w:szCs w:val="24"/>
          </w:rPr>
          <w:t>https://likicontrol.com.ua/</w:t>
        </w:r>
      </w:hyperlink>
    </w:p>
    <w:p w:rsidR="00FD60CF" w:rsidRPr="00FD60CF" w:rsidRDefault="00FD60CF" w:rsidP="008512F9">
      <w:pPr>
        <w:pStyle w:val="21"/>
        <w:widowControl w:val="0"/>
        <w:numPr>
          <w:ilvl w:val="0"/>
          <w:numId w:val="41"/>
        </w:numPr>
        <w:jc w:val="both"/>
        <w:rPr>
          <w:sz w:val="24"/>
          <w:szCs w:val="24"/>
        </w:rPr>
      </w:pPr>
      <w:r w:rsidRPr="00FD60CF">
        <w:rPr>
          <w:sz w:val="24"/>
          <w:szCs w:val="24"/>
        </w:rPr>
        <w:t>Rx.ua —</w:t>
      </w:r>
      <w:hyperlink r:id="rId65" w:history="1">
        <w:r w:rsidRPr="00FD60CF">
          <w:rPr>
            <w:rStyle w:val="a6"/>
            <w:sz w:val="24"/>
            <w:szCs w:val="24"/>
          </w:rPr>
          <w:t>довідник еквівалентності лікарських засобів</w:t>
        </w:r>
      </w:hyperlink>
      <w:r w:rsidRPr="00FD60CF">
        <w:rPr>
          <w:sz w:val="24"/>
          <w:szCs w:val="24"/>
        </w:rPr>
        <w:t xml:space="preserve"> [Електронний ресурс]. – Режим доступу:</w:t>
      </w:r>
      <w:r w:rsidRPr="00FD60CF">
        <w:rPr>
          <w:color w:val="000000"/>
          <w:sz w:val="24"/>
          <w:szCs w:val="24"/>
          <w:shd w:val="clear" w:color="auto" w:fill="FFFFFF"/>
        </w:rPr>
        <w:t> </w:t>
      </w:r>
      <w:hyperlink r:id="rId66" w:history="1">
        <w:r w:rsidRPr="00FD60CF">
          <w:rPr>
            <w:rStyle w:val="a6"/>
            <w:sz w:val="24"/>
            <w:szCs w:val="24"/>
            <w:shd w:val="clear" w:color="auto" w:fill="FFFFFF"/>
          </w:rPr>
          <w:t>https://rx.ua/</w:t>
        </w:r>
      </w:hyperlink>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pacing w:before="7"/>
        <w:ind w:right="32"/>
        <w:jc w:val="both"/>
        <w:rPr>
          <w:rFonts w:ascii="Times New Roman" w:hAnsi="Times New Roman" w:cs="Times New Roman"/>
          <w:b/>
          <w:sz w:val="24"/>
          <w:szCs w:val="24"/>
          <w:lang w:val="uk-UA"/>
        </w:rPr>
      </w:pPr>
      <w:r w:rsidRPr="0088636D">
        <w:rPr>
          <w:rFonts w:ascii="Times New Roman" w:hAnsi="Times New Roman" w:cs="Times New Roman"/>
          <w:b/>
          <w:sz w:val="24"/>
          <w:szCs w:val="24"/>
          <w:lang w:val="uk-UA"/>
        </w:rPr>
        <w:t>Лекція 4</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val="uk-UA" w:eastAsia="ar-SA"/>
        </w:rPr>
        <w:t>Тема</w:t>
      </w:r>
      <w:r w:rsidR="001A029B">
        <w:rPr>
          <w:rFonts w:ascii="Times New Roman" w:eastAsia="Times New Roman" w:hAnsi="Times New Roman" w:cs="Times New Roman"/>
          <w:b/>
          <w:bCs/>
          <w:sz w:val="24"/>
          <w:szCs w:val="24"/>
          <w:lang w:val="uk-UA" w:eastAsia="ar-SA"/>
        </w:rPr>
        <w:t>:</w:t>
      </w: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b/>
          <w:sz w:val="24"/>
          <w:szCs w:val="24"/>
          <w:lang w:val="uk-UA" w:eastAsia="ar-SA"/>
        </w:rPr>
        <w:t>«</w:t>
      </w:r>
      <w:r w:rsidRPr="0088636D">
        <w:rPr>
          <w:rFonts w:ascii="Times New Roman" w:eastAsia="Times New Roman" w:hAnsi="Times New Roman" w:cs="Times New Roman"/>
          <w:sz w:val="24"/>
          <w:szCs w:val="24"/>
          <w:lang w:val="uk-UA" w:eastAsia="ar-SA"/>
        </w:rPr>
        <w:t>Соціальні ролі» та етика бізнесу. Соціальні проекти</w:t>
      </w:r>
      <w:r w:rsidRPr="0088636D">
        <w:rPr>
          <w:rFonts w:ascii="Times New Roman" w:eastAsia="Times New Roman" w:hAnsi="Times New Roman" w:cs="Times New Roman"/>
          <w:b/>
          <w:sz w:val="24"/>
          <w:szCs w:val="24"/>
          <w:lang w:val="uk-UA" w:eastAsia="ar-SA"/>
        </w:rPr>
        <w:t>»</w:t>
      </w:r>
    </w:p>
    <w:p w:rsidR="0088636D" w:rsidRPr="0088636D" w:rsidRDefault="0088636D" w:rsidP="0088636D">
      <w:pPr>
        <w:suppressAutoHyphens/>
        <w:spacing w:after="0" w:line="240" w:lineRule="auto"/>
        <w:jc w:val="both"/>
        <w:rPr>
          <w:rFonts w:ascii="Times New Roman" w:eastAsia="Times New Roman" w:hAnsi="Times New Roman" w:cs="Times New Roman"/>
          <w:b/>
          <w:sz w:val="24"/>
          <w:szCs w:val="24"/>
          <w:lang w:val="uk-UA" w:eastAsia="ar-SA"/>
        </w:rPr>
      </w:pPr>
    </w:p>
    <w:p w:rsidR="0088636D" w:rsidRPr="0088636D" w:rsidRDefault="0088636D" w:rsidP="0088636D">
      <w:pPr>
        <w:shd w:val="clear" w:color="auto" w:fill="FFFFFF"/>
        <w:spacing w:after="0" w:line="240" w:lineRule="auto"/>
        <w:jc w:val="both"/>
        <w:rPr>
          <w:rFonts w:ascii="Times New Roman" w:eastAsia="Times New Roman" w:hAnsi="Times New Roman" w:cs="Times New Roman"/>
          <w:sz w:val="24"/>
          <w:szCs w:val="24"/>
          <w:lang w:eastAsia="ru-RU"/>
        </w:rPr>
      </w:pPr>
      <w:r w:rsidRPr="0088636D">
        <w:rPr>
          <w:rFonts w:ascii="Times New Roman" w:eastAsia="Times New Roman" w:hAnsi="Times New Roman" w:cs="Times New Roman"/>
          <w:b/>
          <w:sz w:val="24"/>
          <w:szCs w:val="24"/>
          <w:lang w:val="uk-UA" w:eastAsia="ru-RU"/>
        </w:rPr>
        <w:t>Актуальність теми.</w:t>
      </w:r>
      <w:r w:rsidRPr="0088636D">
        <w:rPr>
          <w:rFonts w:ascii="Times New Roman" w:eastAsia="Times New Roman" w:hAnsi="Times New Roman" w:cs="Times New Roman"/>
          <w:sz w:val="24"/>
          <w:szCs w:val="24"/>
          <w:lang w:val="uk-UA" w:eastAsia="ru-RU"/>
        </w:rPr>
        <w:t xml:space="preserve"> Сталий розвиток – це розвиток суспільства, що дозволяє задовольняти потреби нинішнього покоління, не завдаючи при цьому шкоди можливостям майбутніх поколінь для задоволення їхніх власних потреб. </w:t>
      </w:r>
      <w:r w:rsidRPr="0088636D">
        <w:rPr>
          <w:rFonts w:ascii="Times New Roman" w:eastAsia="Times New Roman" w:hAnsi="Times New Roman" w:cs="Times New Roman"/>
          <w:sz w:val="24"/>
          <w:szCs w:val="24"/>
          <w:lang w:eastAsia="ru-RU"/>
        </w:rPr>
        <w:t>Базисом концепції сталого (збалансованого) розвитку є три нерозривно пов’язані складові – економічна, екологічна та соціальна.</w:t>
      </w:r>
    </w:p>
    <w:p w:rsidR="0088636D" w:rsidRPr="0088636D" w:rsidRDefault="0088636D" w:rsidP="0088636D">
      <w:pPr>
        <w:shd w:val="clear" w:color="auto" w:fill="FFFFFF"/>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 Розвиток соціальної відповідальності бізнесу в Україні зумовлено його суттєвим впливом на досягнення економічних, соціальних та екологічних цілей, які стають рушіями подальшого розвитку, в той же час автономія та самостійність господарювання, креативний, творчий підхід до справи викликає необхідність вирішення цілої низки питань, які пов'язані з новим підходом до пошуку ринкових можливостей, урізноманітнення методики маркетингових досліджень, ефективним управлінням та використанням ресурсів, залученням інновацій та інвестицій. Успішне вирішення такого кола питань значною мірою залежить від особистих якостей підприємця, його професійної культури, професіоналізму, вміння гідно представляти свій бізнес, з повагою до інших вести власну справу. Оцінка людських відносин, поведінки підприємця з точки зору її відповідності до загальноприйнятих розумних, цивілізованих норм втілюється в професійній етиці бізнесмена, культурі підприємництва.</w:t>
      </w:r>
    </w:p>
    <w:p w:rsidR="0088636D" w:rsidRPr="0088636D" w:rsidRDefault="0088636D" w:rsidP="0088636D">
      <w:pPr>
        <w:suppressAutoHyphens/>
        <w:spacing w:after="0" w:line="240" w:lineRule="auto"/>
        <w:jc w:val="both"/>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 xml:space="preserve">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sz w:val="24"/>
          <w:szCs w:val="24"/>
          <w:lang w:val="uk-UA" w:eastAsia="ar-SA"/>
        </w:rPr>
        <w:t>Мета</w:t>
      </w:r>
      <w:r w:rsidRPr="0088636D">
        <w:rPr>
          <w:rFonts w:ascii="Times New Roman" w:eastAsia="Times New Roman" w:hAnsi="Times New Roman" w:cs="Times New Roman"/>
          <w:sz w:val="24"/>
          <w:szCs w:val="24"/>
          <w:lang w:val="uk-UA" w:eastAsia="ar-SA"/>
        </w:rPr>
        <w:t>:   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hd w:val="clear" w:color="auto" w:fill="FFFFFF"/>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b/>
          <w:sz w:val="24"/>
          <w:szCs w:val="24"/>
          <w:lang w:val="uk-UA" w:eastAsia="ru-RU"/>
        </w:rPr>
        <w:t xml:space="preserve">Основні поняття: </w:t>
      </w:r>
      <w:r w:rsidRPr="0088636D">
        <w:rPr>
          <w:rFonts w:ascii="Times New Roman" w:eastAsia="Times New Roman" w:hAnsi="Times New Roman" w:cs="Times New Roman"/>
          <w:sz w:val="24"/>
          <w:szCs w:val="24"/>
          <w:lang w:val="uk-UA" w:eastAsia="ru-RU"/>
        </w:rPr>
        <w:t>соціальна фармація</w:t>
      </w:r>
      <w:r w:rsidRPr="0088636D">
        <w:rPr>
          <w:rFonts w:ascii="Times New Roman" w:eastAsia="Times New Roman" w:hAnsi="Times New Roman" w:cs="Times New Roman"/>
          <w:b/>
          <w:sz w:val="24"/>
          <w:szCs w:val="24"/>
          <w:lang w:val="uk-UA" w:eastAsia="ru-RU"/>
        </w:rPr>
        <w:t xml:space="preserve">; </w:t>
      </w:r>
      <w:r w:rsidRPr="0088636D">
        <w:rPr>
          <w:rFonts w:ascii="Times New Roman" w:eastAsia="Calibri" w:hAnsi="Times New Roman" w:cs="Times New Roman"/>
          <w:sz w:val="24"/>
          <w:szCs w:val="24"/>
          <w:lang w:val="uk-UA"/>
        </w:rPr>
        <w:t xml:space="preserve">система охорони здоров'я; соціальні пільги та права; </w:t>
      </w:r>
      <w:r w:rsidRPr="0088636D">
        <w:rPr>
          <w:rFonts w:ascii="Times New Roman" w:eastAsia="Times New Roman" w:hAnsi="Times New Roman" w:cs="Times New Roman"/>
          <w:bCs/>
          <w:color w:val="000000"/>
          <w:sz w:val="24"/>
          <w:szCs w:val="24"/>
          <w:lang w:val="uk-UA" w:eastAsia="uk-UA"/>
        </w:rPr>
        <w:t>соціальні ролі; етика бізнесу</w:t>
      </w:r>
    </w:p>
    <w:p w:rsidR="0088636D" w:rsidRPr="0088636D" w:rsidRDefault="0088636D" w:rsidP="0088636D">
      <w:pPr>
        <w:suppressAutoHyphens/>
        <w:spacing w:after="0" w:line="240" w:lineRule="auto"/>
        <w:jc w:val="both"/>
        <w:rPr>
          <w:rFonts w:ascii="Times New Roman" w:eastAsia="Times New Roman" w:hAnsi="Times New Roman" w:cs="Times New Roman"/>
          <w:b/>
          <w:sz w:val="24"/>
          <w:szCs w:val="24"/>
          <w:lang w:val="uk-UA" w:eastAsia="ar-SA"/>
        </w:rPr>
      </w:pPr>
    </w:p>
    <w:p w:rsidR="0088636D" w:rsidRPr="0088636D" w:rsidRDefault="0088636D" w:rsidP="0088636D">
      <w:pPr>
        <w:suppressAutoHyphens/>
        <w:spacing w:after="0" w:line="240" w:lineRule="auto"/>
        <w:ind w:left="720"/>
        <w:jc w:val="both"/>
        <w:rPr>
          <w:rFonts w:ascii="Times New Roman" w:eastAsia="Times New Roman" w:hAnsi="Times New Roman" w:cs="Times New Roman"/>
          <w:bCs/>
          <w:iCs/>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План та організаційна структура лекції.</w:t>
      </w:r>
    </w:p>
    <w:tbl>
      <w:tblPr>
        <w:tblW w:w="0" w:type="auto"/>
        <w:tblInd w:w="-5" w:type="dxa"/>
        <w:tblLayout w:type="fixed"/>
        <w:tblLook w:val="0000" w:firstRow="0" w:lastRow="0" w:firstColumn="0" w:lastColumn="0" w:noHBand="0" w:noVBand="0"/>
      </w:tblPr>
      <w:tblGrid>
        <w:gridCol w:w="827"/>
        <w:gridCol w:w="4531"/>
        <w:gridCol w:w="1559"/>
        <w:gridCol w:w="1701"/>
        <w:gridCol w:w="1276"/>
      </w:tblGrid>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w:t>
            </w:r>
          </w:p>
          <w:p w:rsidR="0088636D" w:rsidRPr="0088636D" w:rsidRDefault="0088636D" w:rsidP="0088636D">
            <w:pPr>
              <w:suppressAutoHyphens/>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п.п.</w:t>
            </w:r>
          </w:p>
        </w:tc>
        <w:tc>
          <w:tcPr>
            <w:tcW w:w="453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Основні  етапи лекції та їх зміст</w:t>
            </w:r>
          </w:p>
        </w:tc>
        <w:tc>
          <w:tcPr>
            <w:tcW w:w="1559"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Цілі у ступенях абстракції</w:t>
            </w:r>
          </w:p>
        </w:tc>
        <w:tc>
          <w:tcPr>
            <w:tcW w:w="170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Тип лекції. Обладнання лекції.</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b/>
                <w:sz w:val="24"/>
                <w:szCs w:val="24"/>
                <w:lang w:val="uk-UA" w:eastAsia="ar-SA"/>
              </w:rPr>
            </w:pPr>
            <w:r w:rsidRPr="0088636D">
              <w:rPr>
                <w:rFonts w:ascii="Times New Roman" w:eastAsia="Times New Roman" w:hAnsi="Times New Roman" w:cs="Times New Roman"/>
                <w:b/>
                <w:sz w:val="24"/>
                <w:szCs w:val="24"/>
                <w:lang w:val="uk-UA" w:eastAsia="ar-SA"/>
              </w:rPr>
              <w:t>Розподіл часу</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1.</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ІІ.</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3.</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ІІІ.</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5.</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 xml:space="preserve">    6.</w:t>
            </w:r>
          </w:p>
        </w:tc>
        <w:tc>
          <w:tcPr>
            <w:tcW w:w="453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lastRenderedPageBreak/>
              <w:t>Підготовчий етап.</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Визначення навчальної мети.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Забезпечення позитивної мотивації.</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Основний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Викладення лекційного матеріалу за планом:</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Соціальна відповідальність бізнесу, аспекти діяльності</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Професійна етика, визначення, умови вровадження</w:t>
            </w:r>
          </w:p>
          <w:p w:rsidR="0088636D" w:rsidRPr="0088636D" w:rsidRDefault="0088636D" w:rsidP="008512F9">
            <w:pPr>
              <w:numPr>
                <w:ilvl w:val="0"/>
                <w:numId w:val="9"/>
              </w:numPr>
              <w:suppressAutoHyphens/>
              <w:spacing w:after="0" w:line="240" w:lineRule="auto"/>
              <w:ind w:left="29" w:firstLine="331"/>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sz w:val="24"/>
                <w:szCs w:val="24"/>
                <w:lang w:val="uk-UA" w:eastAsia="ar-SA"/>
              </w:rPr>
              <w:t xml:space="preserve"> Аналіз комерційних проектів фармацевтичних компаній в рамках соціального маркетингу</w:t>
            </w:r>
          </w:p>
          <w:p w:rsidR="0088636D" w:rsidRPr="0088636D" w:rsidRDefault="0088636D" w:rsidP="0088636D">
            <w:pPr>
              <w:suppressAutoHyphens/>
              <w:spacing w:after="0" w:line="240" w:lineRule="auto"/>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Заключний етап.</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Резюме лекції. Загальні висновки.</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Відповідь лектора на можливі запитання.</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Завдання для самопідготовки.</w:t>
            </w:r>
          </w:p>
        </w:tc>
        <w:tc>
          <w:tcPr>
            <w:tcW w:w="1559" w:type="dxa"/>
            <w:tcBorders>
              <w:top w:val="single" w:sz="4" w:space="0" w:color="000000"/>
              <w:left w:val="single" w:sz="4" w:space="0" w:color="000000"/>
              <w:bottom w:val="single" w:sz="4" w:space="0" w:color="000000"/>
            </w:tcBorders>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I</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Ш</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ІУ</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tc>
        <w:tc>
          <w:tcPr>
            <w:tcW w:w="1701" w:type="dxa"/>
            <w:tcBorders>
              <w:top w:val="single" w:sz="4" w:space="0" w:color="000000"/>
              <w:left w:val="single" w:sz="4" w:space="0" w:color="000000"/>
              <w:bottom w:val="single" w:sz="4" w:space="0" w:color="000000"/>
            </w:tcBorders>
          </w:tcPr>
          <w:p w:rsidR="0088636D" w:rsidRPr="0088636D" w:rsidRDefault="0088636D" w:rsidP="0088636D">
            <w:pPr>
              <w:suppressAutoHyphens/>
              <w:snapToGrid w:val="0"/>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Проєктор </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Список літератури, питання, </w:t>
            </w:r>
            <w:r w:rsidRPr="0088636D">
              <w:rPr>
                <w:rFonts w:ascii="Times New Roman" w:eastAsia="Times New Roman" w:hAnsi="Times New Roman" w:cs="Times New Roman"/>
                <w:sz w:val="24"/>
                <w:szCs w:val="24"/>
                <w:lang w:val="uk-UA" w:eastAsia="ar-SA"/>
              </w:rPr>
              <w:lastRenderedPageBreak/>
              <w:t>завдання.</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88636D">
            <w:pPr>
              <w:suppressAutoHyphens/>
              <w:snapToGrid w:val="0"/>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5%</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85 – 90%</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tc>
      </w:tr>
    </w:tbl>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rPr>
          <w:rFonts w:ascii="Times New Roman" w:eastAsia="Times New Roman" w:hAnsi="Times New Roman" w:cs="Times New Roman"/>
          <w:b/>
          <w:bCs/>
          <w:iCs/>
          <w:sz w:val="24"/>
          <w:szCs w:val="24"/>
          <w:lang w:val="uk-UA" w:eastAsia="ar-SA"/>
        </w:rPr>
      </w:pPr>
      <w:r w:rsidRPr="0088636D">
        <w:rPr>
          <w:rFonts w:ascii="Times New Roman" w:eastAsia="Times New Roman" w:hAnsi="Times New Roman" w:cs="Times New Roman"/>
          <w:b/>
          <w:bCs/>
          <w:iCs/>
          <w:sz w:val="24"/>
          <w:szCs w:val="24"/>
          <w:lang w:val="uk-UA" w:eastAsia="ar-SA"/>
        </w:rPr>
        <w:t>Зміст лекційного матеріалу (текст лекцій)</w:t>
      </w:r>
    </w:p>
    <w:p w:rsidR="0088636D" w:rsidRPr="0088636D" w:rsidRDefault="0088636D" w:rsidP="0088636D">
      <w:pPr>
        <w:suppressAutoHyphens/>
        <w:spacing w:after="0" w:line="240" w:lineRule="auto"/>
        <w:ind w:firstLine="708"/>
        <w:jc w:val="center"/>
        <w:rPr>
          <w:rFonts w:ascii="Times New Roman" w:eastAsia="Times New Roman" w:hAnsi="Times New Roman" w:cs="Times New Roman"/>
          <w:b/>
          <w:bCs/>
          <w:iCs/>
          <w:sz w:val="24"/>
          <w:szCs w:val="24"/>
          <w:lang w:val="uk-UA" w:eastAsia="ar-SA"/>
        </w:rPr>
      </w:pPr>
    </w:p>
    <w:p w:rsidR="0088636D" w:rsidRPr="0088636D" w:rsidRDefault="0088636D" w:rsidP="008512F9">
      <w:pPr>
        <w:numPr>
          <w:ilvl w:val="0"/>
          <w:numId w:val="11"/>
        </w:numPr>
        <w:suppressAutoHyphens/>
        <w:spacing w:after="0" w:line="240" w:lineRule="auto"/>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Соціальна відповідальність бізнесу, аспекти діяльності</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За останні роки в Україні набула поширення концепція соціальної відповідальності бізнесу, яка представляє собою систему суспільних відносин із зацікавленими групами (стейкхолдерами), взаємодію з державою у вирішенні соціальних проблем. Класичне визначення корпоративної соціальної відповідальності наводить Ф. Котлер: «Корпоративна соціальна відповідальність – це вільний вибір компанії на користь зобов’язання підвищувати добробут суспільства, реалізовуючи відповідні підходи до ведення бізнесу і виділяючи корпоративні ресурси». Оскільки Україна обрала пріоритетним напрямком євроінтеграцію як в середньостроковій, так і в довгостроковій перспективі, то український бізнес повинен орієнтуватися на європейські стандарти. Європейський Альянс корпоративної соціальної відповідальності, який започатковано у 2006 р., визначив соціальну відповідальність як концепцію залучення соціальних і екологічних напрямків у діяльність бізнесу на засадах добровільності та взаємодії між усіма зацікавленими сторонами (групами впливу). Соціальна відповідальність бізнесу (СВБ) поширюється на такі основні напрями: дотримання прав людини; дотримання вимог законодавства; ділова та корпоративна етика; захист навколишнього природного середовища; співпраця із зацікавленими сторонами; дотримання міжнародних норм поведінки; прозорість та підзвітність.</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Існуючі моделі соціальної відповідальності мають багаторівневу структуру. Дослідники з питань соціальної відповідальності бізнесу виділяють три рівні для визначення соціальної відповідальності: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Перший (базовий) рівень – бізнес платить податки у повному обсязі і легально, тим самим кошти надходять до бюджету, звідки розподіляються на ті ж самі соціальні програми.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Другий (корпоративний) рівень – соціально відповідальний бізнес повинен платити економічно обґрунтовану зарплату. Не секрет, що зараз бізнес часто економить на зарплаті, розглядаючи її як частину своїх витрат. З одного боку, це так. Але з іншої – бізнес повинен зрозуміти, що висока зарплата дозволяє людині витрачати гроші на підтримку свого здоров’я, на освіту, на культуру.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Третій (вищий) рівень – соціально відповідальний бізнес на добровільній основі займається добродійністю. З одного боку, потенційний інвестор має більше довіри, якщо компанія може дозволити собі проводити масштабні соціальні програми, безпосередньо не пов’язані з виробництвом, та її знають в суспільстві. З іншого боку, ці програми показують, що бізнес відкритий, він займається не лише внутрішніми корпоративними програмами, але і працює з суспільством. Соціальна відповідальність сприяє не лише покращенню іміджу підприємства, але й забезпечує конкурентну перевагу на довгострокову перспективу, вихід на нові ринки.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До основних переваг ведення українськими підприємствами СВБ можна віднести: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1. Поліпшення фінансових показників. Багато досліджень, проведених у різних країнах, засвідчують пряму залежність між якістю політики соціальної відповідальності компанії та поліпшенням її фінансових показників. </w:t>
      </w:r>
      <w:r w:rsidRPr="0088636D">
        <w:rPr>
          <w:rFonts w:ascii="Times New Roman" w:eastAsia="Times New Roman" w:hAnsi="Times New Roman" w:cs="Times New Roman"/>
          <w:sz w:val="24"/>
          <w:szCs w:val="24"/>
          <w:lang w:eastAsia="ar-SA"/>
        </w:rPr>
        <w:t xml:space="preserve">Одне з останніх досліджень з цього приводу, в ході якого порівнювалися компанії, що працюють в одному ринковому секторі і мають приблизно однакові розміри, а також обсяги діяльності, було проведено в 1997 році Сандрою Ваддок та Семюелем Грейвзом. Об’єктами їхнього аналізу стали 22 компанії: 11 – з високими показниками соціальної відповідальності і 11 – з низькими. Компанії оцінювалися за такими показниками: дохід з інвестицій, дохід від продажу, чистий прибуток тощо. Дослідження засвідчило, що впродовж 10 років у компаній, які реалізують концепцію соціальної відповідальності, фінансові показники були вищими, ніж у соціальне невідповідальних компаній, а саме: дохід від інвестованого капіталу більший на 9,8%, дохід з активів - на 3,55%, дохід з продажу - на 2,79%, прибуток – на 63,5%.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 xml:space="preserve">2. Поліпшення іміджу та репутації брендів. </w:t>
      </w:r>
      <w:r w:rsidRPr="0088636D">
        <w:rPr>
          <w:rFonts w:ascii="Times New Roman" w:eastAsia="Times New Roman" w:hAnsi="Times New Roman" w:cs="Times New Roman"/>
          <w:sz w:val="24"/>
          <w:szCs w:val="24"/>
          <w:lang w:eastAsia="ar-SA"/>
        </w:rPr>
        <w:t xml:space="preserve">Товарний достаток та великі можливості вибору на ринку створюють умови, за яких на вибір споживачів того або іншого товару чи бренду впливають не тільки його ціна і якість, а й багато інших чинників. Численні дослідження показують, що одним з таких чинників є репутація компанії як соціально відповідальної корпорації, популярність та визнання її соціальної діяльності.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3. Підвищення продажу та лояльність споживачів. Успішна та продумана політика соціальної відповідальності істотно впливає на рівень продажу, здійснюваного компанією, та лояльність щодо неї споживачів. В європейських та інших країнах світу опитування показали, що значна частина покупців готова навіть змінити торгову марку на таку, яка б асоціювалася з благодійними справами: у Великобританії таких споживачів виявилося 86%, в Австралії – 73%, у Бельгії – 65%. У 1998 році 28% британців бойкотували товари компаній, які проводять безвідповідальну політику.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4. Зменшення плинності кадрів, підвищення відданості персоналу. До роботи в компанію, що підтримує продуману політику соціальної відповідальності, легше залучити професіоналів, тут знижується плинність кадрів і у зв’язку з цим скорочуються витрати на навчання працівників. В 2001 році більше половини випускників МВА (Маster оf Вusinees Аdministration) віддавали перевагу тим компаніям, які відомі своїм відповідальним ставленням до суспільства, істотними соціальними програмами. Особливу роль репутація компанії відіграє саме при пошуку й залученні високопрофесійних кадрів, працівників вищої та середньої ланки, які оцінюють не тільки рівень оплати праці, кар’єрні перспективи, але й дбають про власну репутацію та престиж.</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 5. Скорочення тиску з боку перевіряючих органів. У деяких країнах продумана політика соціальної відповідальності може сприяти зменшенню тиску з боку перевіряючих органів. Публікація інформації про принципи та політику компанії щодо своїх працівників, довкілля, постачальників значною мірою дає відповідь державним органам на те, яким є ставлення компанії до цих питань. Можна стверджувати, що ті компанії, які дотримуються відкритості й прозорості у своїй діяльності, вкладають ресурси в соціальні програми, мають більш стійкі позиції у відносинах з владою.</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 За оцінками експертів, запровадження соціальних заходів виявило високий рівень сподівань серед респондентів щодо позитивної віддачі від впровадження СВБ. Найбільших переваг на підприємствах очікують за показниками: поліпшення репутації, підвищення рівня інформованості про бренд, налагодження стосунків із владою, підвищення якості продуктів, конкурентних переваг, інновацій, продуктивності, продажів, прибутків та інших показників економічного розвитку підприємства</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p>
    <w:p w:rsidR="0088636D" w:rsidRPr="0088636D" w:rsidRDefault="0088636D" w:rsidP="008512F9">
      <w:pPr>
        <w:numPr>
          <w:ilvl w:val="0"/>
          <w:numId w:val="11"/>
        </w:numPr>
        <w:suppressAutoHyphens/>
        <w:spacing w:after="0" w:line="240" w:lineRule="auto"/>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Професійна етика, визначення, умови впровадження</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Підвищення уваги до ролі управління як виду суспільної діяльності обумовила широке використання досягнень багатьох наук, серед яких провідне місце посідають науки, що досліджують поведінку людини, зокрема: етика, ергономіка, економічна психологія, соціологія управління бізнесом. Поряд з цим все більше актуалізується інтерес до етичних проблем корпоративної соціальної відповідальності в бізнес-середовищі, що спонукає до глибокого аналізу суспільних та економічних відносин в процесі трудової діяльності людини.</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bCs/>
          <w:iCs/>
          <w:sz w:val="24"/>
          <w:szCs w:val="24"/>
          <w:lang w:val="uk-UA" w:eastAsia="ar-SA"/>
        </w:rPr>
      </w:pPr>
      <w:r w:rsidRPr="0088636D">
        <w:rPr>
          <w:rFonts w:ascii="Times New Roman" w:eastAsia="Times New Roman" w:hAnsi="Times New Roman" w:cs="Times New Roman"/>
          <w:sz w:val="24"/>
          <w:szCs w:val="24"/>
          <w:lang w:val="uk-UA" w:eastAsia="ar-SA"/>
        </w:rPr>
        <w:t>Досвід міжнародного бізнесу підтверджує значимість професійної етики у формуванні успіху фірми, так в західній практиці існують різноманітні концепції та підходи, що стосуються питань розвитку людських відносин в бізнес-середовищі. Здебільшого це чітко відпрацьований інструментарій управлінського впливу на свідомість людей в процесі спільної праці. В більшості країн ЄС у різній формі розроблені та функціонують державні програми підтримки і стимулювання соціальної відповідальності бізнесу. Завдяки цим програмам держава визначає бажану поведінку для бізнесу, долучає компанії приватного і державного секторів до спільного виконання соціально важливих завдань, матеріально стимулює бізнес до соціально відповідальної діяльності.</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Сталий розвиток – це розвиток суспільства, що дозволяє задовольняти потреби нинішнього покоління, не завдаючи при цьому шкоди можливостям майбутніх поколінь для задоволення їхніх власних потреб. Базисом концепції сталого (збалансованого) розвитку є три </w:t>
      </w:r>
      <w:r w:rsidRPr="0088636D">
        <w:rPr>
          <w:rFonts w:ascii="Times New Roman" w:eastAsia="Times New Roman" w:hAnsi="Times New Roman" w:cs="Times New Roman"/>
          <w:sz w:val="24"/>
          <w:szCs w:val="24"/>
          <w:lang w:eastAsia="ar-SA"/>
        </w:rPr>
        <w:lastRenderedPageBreak/>
        <w:t xml:space="preserve">нерозривно пов’язані складові – економічна, екологічна та соціальна. Дану статтю присвячено дослідженню соціальної складової, а саме ролі професійної етики підприємця в формуванні корпоративної соціальної відповідальності учасників бізнесу, як одного з основних факторів, що дозволяють сформувати корпоративну репутацію компанії і як результат – додаткову конкурентну перевагу інноваційного типу.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Обговорення питань професійної етики базується на етиці особистих відносин, як в середині колективу так і ззовні – зовнішній імідж організації, це безпосередньо пов’язано з тим, що етика формується відношенням до матеріальних і нематеріальних цінностей. </w:t>
      </w:r>
      <w:r w:rsidRPr="0088636D">
        <w:rPr>
          <w:rFonts w:ascii="Times New Roman" w:eastAsia="Times New Roman" w:hAnsi="Times New Roman" w:cs="Times New Roman"/>
          <w:sz w:val="24"/>
          <w:szCs w:val="24"/>
          <w:lang w:eastAsia="ar-SA"/>
        </w:rPr>
        <w:t>Поняття «етика» грецького походження і дослівно перекладається як «звичка», «характер», «вдача». Визнання професійної етики як окремої сфери знання датується серединою 70-х років. Саме з цього часу розпочато організацію конференцій, семінарів присвячених цьому питанню. Вчені та представники бізнесу активно працюють над визначеннями етичних принципів на міжнародному, регіональному, професійному рівнях. Базисом професійної етики є такі складові як етика та мораль. Таким чином, поняття «професійна етика» слід розглядати не лише з морально-етичного боку. Це і проблема управлінська, і економічна, і політична, і правова. Її вирішення вимагає комплексного підходу, в якому мораль відіграє роль структуротворчого елементу.</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Професійна етика як сукупність соціально зумовлених моральних норм поведінки впливає на мотиви поведінки особистості при виконанні нею своїх професійних обов’язків, спонукає її діяти певним чином у межах статутів, інструкцій, кодексів встановлених для даної професії. Професійна етика - сукупність визначених принципів, професійних правил та норм поведінки працівників під час реалізації цілей, завдань, різноманітних програм та планів організацій, установ виробничої і невиробничої сфери, що забезпечують адекватну поведінку людини в бізнес-середовищі. Вона виявляється як на мікрорівні - це моральні відносини в організації, так і на макрорівні - це моральні відносини між суб’єктами господарської діяльності на ринку. </w:t>
      </w:r>
      <w:r w:rsidRPr="0088636D">
        <w:rPr>
          <w:rFonts w:ascii="Times New Roman" w:eastAsia="Times New Roman" w:hAnsi="Times New Roman" w:cs="Times New Roman"/>
          <w:sz w:val="24"/>
          <w:szCs w:val="24"/>
          <w:lang w:eastAsia="ar-SA"/>
        </w:rPr>
        <w:t xml:space="preserve">Формування професійної етики - складний процес, що обумовлений як факторами поведінки, так і змінами в сфері економічної діяльності і суспільства в цілому. Він залежить від наявності нормативно-правової бази, її дієвості, від правильного застосування науки про поведінку людини, групи.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 метою впровадження елементів професійної етики в бізнес-середовище виділено такі необхідні умови: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підтримання та заохочення існування у колективі різних точок зору на ті або інші проблеми;</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високий рівень міжособистісних стосунків, прагнення до колективного вирішення завдань;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виконання співробітниками частини повноважень свого керівника, що сприяє підвищенню ступеня відповідальності за виконувану роботу;</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нестандартний спосіб мислення, який часто є джерелом нововведень у різних сферах діяльності.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Окрім необхідних умов, для успішного впровадження, рекомендовано використовувати такі принципи професійної етики(</w:t>
      </w:r>
      <w:r w:rsidRPr="0088636D">
        <w:rPr>
          <w:rFonts w:ascii="Times New Roman" w:eastAsia="Times New Roman" w:hAnsi="Times New Roman" w:cs="Times New Roman"/>
          <w:sz w:val="24"/>
          <w:szCs w:val="24"/>
          <w:lang w:val="uk-UA" w:eastAsia="ar-SA"/>
        </w:rPr>
        <w:t>слайд</w:t>
      </w:r>
      <w:r w:rsidRPr="0088636D">
        <w:rPr>
          <w:rFonts w:ascii="Times New Roman" w:eastAsia="Times New Roman" w:hAnsi="Times New Roman" w:cs="Times New Roman"/>
          <w:sz w:val="24"/>
          <w:szCs w:val="24"/>
          <w:lang w:eastAsia="ar-SA"/>
        </w:rPr>
        <w:t>):</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Pr>
          <w:rFonts w:ascii="Times New Roman" w:eastAsia="Times New Roman" w:hAnsi="Times New Roman" w:cs="Times New Roman"/>
          <w:noProof/>
          <w:sz w:val="24"/>
          <w:szCs w:val="24"/>
          <w:lang w:val="uk-UA" w:eastAsia="uk-UA"/>
        </w:rPr>
        <w:drawing>
          <wp:inline distT="0" distB="0" distL="0" distR="0">
            <wp:extent cx="5839460" cy="1828800"/>
            <wp:effectExtent l="19050" t="19050" r="27940" b="190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839460" cy="1828800"/>
                    </a:xfrm>
                    <a:prstGeom prst="rect">
                      <a:avLst/>
                    </a:prstGeom>
                    <a:noFill/>
                    <a:ln w="6350" cmpd="sng">
                      <a:solidFill>
                        <a:srgbClr val="000000"/>
                      </a:solidFill>
                      <a:miter lim="800000"/>
                      <a:headEnd/>
                      <a:tailEnd/>
                    </a:ln>
                    <a:effectLst/>
                  </pic:spPr>
                </pic:pic>
              </a:graphicData>
            </a:graphic>
          </wp:inline>
        </w:drawing>
      </w:r>
    </w:p>
    <w:p w:rsidR="0088636D" w:rsidRPr="0088636D" w:rsidRDefault="0088636D" w:rsidP="0088636D">
      <w:pPr>
        <w:suppressAutoHyphens/>
        <w:spacing w:after="0" w:line="240" w:lineRule="auto"/>
        <w:jc w:val="center"/>
        <w:rPr>
          <w:rFonts w:ascii="Times New Roman" w:eastAsia="Times New Roman" w:hAnsi="Times New Roman" w:cs="Times New Roman"/>
          <w:bCs/>
          <w:i/>
          <w:iCs/>
          <w:sz w:val="24"/>
          <w:szCs w:val="24"/>
          <w:lang w:val="uk-UA" w:eastAsia="ar-SA"/>
        </w:rPr>
      </w:pPr>
      <w:r w:rsidRPr="0088636D">
        <w:rPr>
          <w:rFonts w:ascii="Times New Roman" w:eastAsia="Times New Roman" w:hAnsi="Times New Roman" w:cs="Times New Roman"/>
          <w:bCs/>
          <w:i/>
          <w:iCs/>
          <w:sz w:val="24"/>
          <w:szCs w:val="24"/>
          <w:lang w:val="uk-UA" w:eastAsia="ar-SA"/>
        </w:rPr>
        <w:t>Джерело: file:///D:/home/e210275boi/Downloads/42238-83525-1-SM.pdf</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Основними документами, які регулюють ведення бізнесу й дотримання професійної етики є: Принципи міжнародного бізнесу (Декларація КО) та Глобальний Договір ООН, </w:t>
      </w:r>
      <w:r w:rsidRPr="0088636D">
        <w:rPr>
          <w:rFonts w:ascii="Times New Roman" w:eastAsia="Times New Roman" w:hAnsi="Times New Roman" w:cs="Times New Roman"/>
          <w:sz w:val="24"/>
          <w:szCs w:val="24"/>
          <w:lang w:eastAsia="ar-SA"/>
        </w:rPr>
        <w:t>ISO</w:t>
      </w:r>
      <w:r w:rsidRPr="0088636D">
        <w:rPr>
          <w:rFonts w:ascii="Times New Roman" w:eastAsia="Times New Roman" w:hAnsi="Times New Roman" w:cs="Times New Roman"/>
          <w:sz w:val="24"/>
          <w:szCs w:val="24"/>
          <w:lang w:val="uk-UA" w:eastAsia="ar-SA"/>
        </w:rPr>
        <w:t xml:space="preserve"> 14000 - міжнародні стандарти в області систем екологічного менеджменту та інші. Одним з найважливіших кроків щодо підвищення рівня дотримання професійної етики та поведінки корпорацій можна вважати прийняту в 1994 р. в швейцарському місті КО (Са</w:t>
      </w:r>
      <w:r w:rsidRPr="0088636D">
        <w:rPr>
          <w:rFonts w:ascii="Times New Roman" w:eastAsia="Times New Roman" w:hAnsi="Times New Roman" w:cs="Times New Roman"/>
          <w:sz w:val="24"/>
          <w:szCs w:val="24"/>
          <w:lang w:eastAsia="ar-SA"/>
        </w:rPr>
        <w:t>u</w:t>
      </w:r>
      <w:r w:rsidRPr="0088636D">
        <w:rPr>
          <w:rFonts w:ascii="Times New Roman" w:eastAsia="Times New Roman" w:hAnsi="Times New Roman" w:cs="Times New Roman"/>
          <w:sz w:val="24"/>
          <w:szCs w:val="24"/>
          <w:lang w:val="uk-UA" w:eastAsia="ar-SA"/>
        </w:rPr>
        <w:t xml:space="preserve">х) Декларацію КО - «Міжнародні принципи бізнесу». У Декларації зроблена спроба об'єднати основи східної та західної ділових культур, її ініціаторами були керівники найбільших національних і транснаціональних корпорацій США, Західної Європи та Японії. Основними завданнями декларації є питання розвитку конструктивних економічних і соціальних взаємовідносин між країнами - учасницями торгівлі та їхньою нагальною взаємною відповідальністю перед рештою світу. </w:t>
      </w:r>
      <w:r w:rsidRPr="0088636D">
        <w:rPr>
          <w:rFonts w:ascii="Times New Roman" w:eastAsia="Times New Roman" w:hAnsi="Times New Roman" w:cs="Times New Roman"/>
          <w:sz w:val="24"/>
          <w:szCs w:val="24"/>
          <w:lang w:eastAsia="ar-SA"/>
        </w:rPr>
        <w:t>Члени-учасники Декларації КО переконані в тому, що світове ділове співтовариство має відігравати важливу роль у поліпшенні економічних і соціальних умов</w:t>
      </w: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t xml:space="preserve">життя. Дані принципи базуються на двох основних етичних концепціях: kyosei і людської гідності. Японська концепція kyosei означає «жити і працювати разом з метою взаємовигідного співробітництва і процвітання в умовах здорової і чесної конкуренції». Людська гідність при цьому розцінюється в кінцевому рахунку як священна недоторканність або цінність окремої особистості, а не просто як засіб для досягнення іншими людьми своїх цілей або навіть для виконання приписів більшості. Основними принципами бізнесу у цьому документі визнано такі: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Відповідальність бізнесу: від блага акціонерів до блага його основних партнерів.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Економічний та соціальний вплив бізнесу: до прогресу, справедливості та світового співтовариства.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Етика бізнесу: від букви закону до духу довіри.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Повага правових норм.</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 xml:space="preserve"> </w:t>
      </w: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Підтримка багатосторонніх торговельних стосунків.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eastAsia="ar-SA"/>
        </w:rPr>
        <w:t xml:space="preserve"> Турбота про навколишнє середовище.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Уникання протизаконних дій.</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Українське суспільство також рухається в напрямі визначення та утвердження принципів етики бізнесу, які, з одного боку, увібрали б у себе кращі традиції професійної культури українців, а з іншого – кращі норми цивілізованого бізнесу. На шляху розуміння, а тим більше дотримання українськими бізнесменами етичних принципів існують різноманітні бар’єри.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Pr>
          <w:rFonts w:ascii="Times New Roman" w:eastAsia="Times New Roman" w:hAnsi="Times New Roman" w:cs="Times New Roman"/>
          <w:noProof/>
          <w:sz w:val="24"/>
          <w:szCs w:val="24"/>
          <w:lang w:val="uk-UA" w:eastAsia="uk-UA"/>
        </w:rPr>
        <w:drawing>
          <wp:inline distT="0" distB="0" distL="0" distR="0">
            <wp:extent cx="5542280" cy="2438400"/>
            <wp:effectExtent l="0" t="0" r="127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542280" cy="2438400"/>
                    </a:xfrm>
                    <a:prstGeom prst="rect">
                      <a:avLst/>
                    </a:prstGeom>
                    <a:noFill/>
                    <a:ln>
                      <a:noFill/>
                    </a:ln>
                  </pic:spPr>
                </pic:pic>
              </a:graphicData>
            </a:graphic>
          </wp:inline>
        </w:drawing>
      </w:r>
    </w:p>
    <w:p w:rsidR="0088636D" w:rsidRPr="0088636D" w:rsidRDefault="0088636D" w:rsidP="0088636D">
      <w:pPr>
        <w:suppressAutoHyphens/>
        <w:spacing w:after="0" w:line="240" w:lineRule="auto"/>
        <w:jc w:val="center"/>
        <w:rPr>
          <w:rFonts w:ascii="Times New Roman" w:eastAsia="Times New Roman" w:hAnsi="Times New Roman" w:cs="Times New Roman"/>
          <w:bCs/>
          <w:i/>
          <w:iCs/>
          <w:sz w:val="24"/>
          <w:szCs w:val="24"/>
          <w:lang w:val="uk-UA" w:eastAsia="ar-SA"/>
        </w:rPr>
      </w:pPr>
      <w:r w:rsidRPr="0088636D">
        <w:rPr>
          <w:rFonts w:ascii="Times New Roman" w:eastAsia="Times New Roman" w:hAnsi="Times New Roman" w:cs="Times New Roman"/>
          <w:bCs/>
          <w:i/>
          <w:iCs/>
          <w:sz w:val="24"/>
          <w:szCs w:val="24"/>
          <w:lang w:val="uk-UA" w:eastAsia="ar-SA"/>
        </w:rPr>
        <w:t xml:space="preserve">Джерело: </w:t>
      </w:r>
      <w:hyperlink r:id="rId69" w:history="1">
        <w:r w:rsidRPr="0088636D">
          <w:rPr>
            <w:rFonts w:ascii="Times New Roman" w:eastAsia="Times New Roman" w:hAnsi="Times New Roman" w:cs="Times New Roman"/>
            <w:bCs/>
            <w:i/>
            <w:iCs/>
            <w:color w:val="0000FF"/>
            <w:sz w:val="24"/>
            <w:szCs w:val="24"/>
            <w:lang w:val="uk-UA" w:eastAsia="ar-SA"/>
          </w:rPr>
          <w:t>file:///D:/home/e210275boi/Downloads/42238-83525-1-SM.pdf</w:t>
        </w:r>
      </w:hyperlink>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Слід зазначити, що для ефективного впровадження професійної етики на підприємствах України необхідно створити умови, зокрема: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розумна податкова політика;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чітке та стабільне правове регулювання економіки;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ліквідація організованої злочинності, корупції;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політична стабільність;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lastRenderedPageBreak/>
        <w:sym w:font="Symbol" w:char="F0B7"/>
      </w:r>
      <w:r w:rsidRPr="0088636D">
        <w:rPr>
          <w:rFonts w:ascii="Times New Roman" w:eastAsia="Times New Roman" w:hAnsi="Times New Roman" w:cs="Times New Roman"/>
          <w:sz w:val="24"/>
          <w:szCs w:val="24"/>
          <w:lang w:val="uk-UA" w:eastAsia="ar-SA"/>
        </w:rPr>
        <w:t xml:space="preserve"> професійність підприємців;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рівні умови ведення бізнесу для всіх;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формування у суспільстві позитивного іміджу підприємця;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формування корпоративної етики підприємців;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sym w:font="Symbol" w:char="F0B7"/>
      </w:r>
      <w:r w:rsidRPr="0088636D">
        <w:rPr>
          <w:rFonts w:ascii="Times New Roman" w:eastAsia="Times New Roman" w:hAnsi="Times New Roman" w:cs="Times New Roman"/>
          <w:sz w:val="24"/>
          <w:szCs w:val="24"/>
          <w:lang w:val="uk-UA" w:eastAsia="ar-SA"/>
        </w:rPr>
        <w:t xml:space="preserve"> навчання етичним основам бізнесу.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Саме тому в Україні підтримка держави необхідна як для підкреслення важливості етичної і соціально відповідальної поведінки компаній, просування кращих практик вітчизняних компаній із соціальної відповідальності в Україні та за кордоном, так і для підвищення престижності досконалих організацій і процесів безперервного системного вдосконалення. Це дозволить більшості компаній посилити довгострокову конкурентоспроможність і репутацію через практики відповідального ставлення до своїх співробітників, споживачів та інших учасників бізнесу.</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p>
    <w:p w:rsidR="0088636D" w:rsidRPr="0088636D" w:rsidRDefault="0088636D" w:rsidP="008512F9">
      <w:pPr>
        <w:numPr>
          <w:ilvl w:val="0"/>
          <w:numId w:val="11"/>
        </w:numPr>
        <w:suppressAutoHyphens/>
        <w:spacing w:after="0" w:line="240" w:lineRule="auto"/>
        <w:jc w:val="both"/>
        <w:rPr>
          <w:rFonts w:ascii="Times New Roman" w:eastAsia="Times New Roman" w:hAnsi="Times New Roman" w:cs="Times New Roman"/>
          <w:i/>
          <w:sz w:val="24"/>
          <w:szCs w:val="24"/>
          <w:lang w:val="uk-UA" w:eastAsia="ar-SA"/>
        </w:rPr>
      </w:pPr>
      <w:r w:rsidRPr="0088636D">
        <w:rPr>
          <w:rFonts w:ascii="Times New Roman" w:eastAsia="Times New Roman" w:hAnsi="Times New Roman" w:cs="Times New Roman"/>
          <w:i/>
          <w:sz w:val="24"/>
          <w:szCs w:val="24"/>
          <w:lang w:val="uk-UA" w:eastAsia="ar-SA"/>
        </w:rPr>
        <w:t>Аналіз комерційних проектів фармацевтичних компаній в рамках соціального маркетингу</w:t>
      </w:r>
    </w:p>
    <w:p w:rsidR="0088636D" w:rsidRPr="0088636D" w:rsidRDefault="0088636D" w:rsidP="0088636D">
      <w:pPr>
        <w:spacing w:after="0" w:line="240" w:lineRule="auto"/>
        <w:ind w:firstLine="851"/>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На сьогодні вартість курсу терапії найчастіше визначається тривалістю, і пацієнти, які страждають хронічними захворюваннями, знаходяться в невигідному становищі. Саме для таких людей створюються різноманітні комерційні програми, які сприяють підвищенню доступності ЛЗ. Виробниками або оптовими фармацевтичними компаніями реалізуються чисельні  соціальні проекти:  «Терапія ПЛЮС»; «Оранж Кард»; «З турботою про співвітчизника»; програма «Разом (АББОТТ КАРТ); «МедіКард», за якими пацієнтам надається фіксована знижка від роздрібної ціни аптеки.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За результатами наукової роботи кафедри було проаналізовані діючі соціальні програми, які реалізуються в аптеках міста Одеси та цінові характеристики ЛЗ, які увійшли до програми та наявність даних ЛЗ в «регулюючих» переліках держави. </w:t>
      </w:r>
    </w:p>
    <w:p w:rsidR="0088636D" w:rsidRPr="0088636D" w:rsidRDefault="0088636D" w:rsidP="008512F9">
      <w:pPr>
        <w:numPr>
          <w:ilvl w:val="0"/>
          <w:numId w:val="12"/>
        </w:numPr>
        <w:shd w:val="clear" w:color="auto" w:fill="FFFFFF"/>
        <w:suppressAutoHyphens/>
        <w:spacing w:after="0" w:line="240" w:lineRule="auto"/>
        <w:ind w:firstLine="709"/>
        <w:jc w:val="both"/>
        <w:rPr>
          <w:rFonts w:ascii="Times New Roman" w:eastAsia="Times New Roman" w:hAnsi="Times New Roman" w:cs="Times New Roman"/>
          <w:bCs/>
          <w:sz w:val="24"/>
          <w:szCs w:val="24"/>
          <w:lang w:val="uk-UA" w:eastAsia="ru-RU"/>
        </w:rPr>
      </w:pPr>
      <w:r w:rsidRPr="0088636D">
        <w:rPr>
          <w:rFonts w:ascii="Times New Roman" w:eastAsia="Times New Roman" w:hAnsi="Times New Roman" w:cs="Times New Roman"/>
          <w:b/>
          <w:sz w:val="24"/>
          <w:szCs w:val="24"/>
          <w:lang w:val="uk-UA" w:eastAsia="ru-RU"/>
        </w:rPr>
        <w:t>«ТерапіяПЛЮС»</w:t>
      </w:r>
      <w:r w:rsidRPr="0088636D">
        <w:rPr>
          <w:rFonts w:ascii="Times New Roman" w:eastAsia="Times New Roman" w:hAnsi="Times New Roman" w:cs="Times New Roman"/>
          <w:sz w:val="24"/>
          <w:szCs w:val="24"/>
          <w:lang w:val="uk-UA" w:eastAsia="ru-RU"/>
        </w:rPr>
        <w:t xml:space="preserve"> - програма, націлена на підтримку пацієнтів з хронічними захворюваннями в таких областях як кардіологія, ендокринологія, пульмонологія, </w:t>
      </w:r>
      <w:r w:rsidRPr="0088636D">
        <w:rPr>
          <w:rFonts w:ascii="Times New Roman" w:eastAsia="Times New Roman" w:hAnsi="Times New Roman" w:cs="Times New Roman"/>
          <w:sz w:val="24"/>
          <w:szCs w:val="24"/>
          <w:lang w:eastAsia="ru-RU"/>
        </w:rPr>
        <w:t> </w:t>
      </w:r>
      <w:r w:rsidRPr="0088636D">
        <w:rPr>
          <w:rFonts w:ascii="Times New Roman" w:eastAsia="Times New Roman" w:hAnsi="Times New Roman" w:cs="Times New Roman"/>
          <w:sz w:val="24"/>
          <w:szCs w:val="24"/>
          <w:lang w:val="uk-UA" w:eastAsia="ru-RU"/>
        </w:rPr>
        <w:t>психіатрія та онкологія. Програма діє на території України з 2011 року. Основна мета Програми «ТерапіяПЛЮС» - підвищення прихильності пацієнтів до призначеної терапії шляхом:</w:t>
      </w:r>
    </w:p>
    <w:p w:rsidR="0088636D" w:rsidRPr="0088636D" w:rsidRDefault="0088636D" w:rsidP="0088636D">
      <w:pPr>
        <w:shd w:val="clear" w:color="auto" w:fill="FFFFFF"/>
        <w:spacing w:after="0" w:line="240" w:lineRule="auto"/>
        <w:ind w:firstLine="851"/>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w:t>
      </w:r>
      <w:r w:rsidRPr="0088636D">
        <w:rPr>
          <w:rFonts w:ascii="Times New Roman" w:eastAsia="Times New Roman" w:hAnsi="Times New Roman" w:cs="Times New Roman"/>
          <w:sz w:val="24"/>
          <w:szCs w:val="24"/>
          <w:lang w:eastAsia="ru-RU"/>
        </w:rPr>
        <w:t>     </w:t>
      </w:r>
      <w:r w:rsidRPr="0088636D">
        <w:rPr>
          <w:rFonts w:ascii="Times New Roman" w:eastAsia="Times New Roman" w:hAnsi="Times New Roman" w:cs="Times New Roman"/>
          <w:sz w:val="24"/>
          <w:szCs w:val="24"/>
          <w:lang w:val="uk-UA" w:eastAsia="ru-RU"/>
        </w:rPr>
        <w:t xml:space="preserve"> </w:t>
      </w:r>
      <w:r w:rsidRPr="0088636D">
        <w:rPr>
          <w:rFonts w:ascii="Times New Roman" w:eastAsia="Times New Roman" w:hAnsi="Times New Roman" w:cs="Times New Roman"/>
          <w:sz w:val="24"/>
          <w:szCs w:val="24"/>
          <w:lang w:eastAsia="ru-RU"/>
        </w:rPr>
        <w:t> </w:t>
      </w:r>
      <w:r w:rsidRPr="0088636D">
        <w:rPr>
          <w:rFonts w:ascii="Times New Roman" w:eastAsia="Times New Roman" w:hAnsi="Times New Roman" w:cs="Times New Roman"/>
          <w:sz w:val="24"/>
          <w:szCs w:val="24"/>
          <w:lang w:val="uk-UA" w:eastAsia="ru-RU"/>
        </w:rPr>
        <w:t>підвищення інформованості пацієнтів про захворювання</w:t>
      </w:r>
    </w:p>
    <w:p w:rsidR="0088636D" w:rsidRPr="0088636D" w:rsidRDefault="0088636D" w:rsidP="0088636D">
      <w:pPr>
        <w:shd w:val="clear" w:color="auto" w:fill="FFFFFF"/>
        <w:spacing w:after="0" w:line="240" w:lineRule="auto"/>
        <w:ind w:firstLine="851"/>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w:t>
      </w:r>
      <w:r w:rsidRPr="0088636D">
        <w:rPr>
          <w:rFonts w:ascii="Times New Roman" w:eastAsia="Times New Roman" w:hAnsi="Times New Roman" w:cs="Times New Roman"/>
          <w:sz w:val="24"/>
          <w:szCs w:val="24"/>
          <w:lang w:eastAsia="ru-RU"/>
        </w:rPr>
        <w:t>     </w:t>
      </w:r>
      <w:r w:rsidRPr="0088636D">
        <w:rPr>
          <w:rFonts w:ascii="Times New Roman" w:eastAsia="Times New Roman" w:hAnsi="Times New Roman" w:cs="Times New Roman"/>
          <w:sz w:val="24"/>
          <w:szCs w:val="24"/>
          <w:lang w:val="uk-UA" w:eastAsia="ru-RU"/>
        </w:rPr>
        <w:t xml:space="preserve"> </w:t>
      </w:r>
      <w:r w:rsidRPr="0088636D">
        <w:rPr>
          <w:rFonts w:ascii="Times New Roman" w:eastAsia="Times New Roman" w:hAnsi="Times New Roman" w:cs="Times New Roman"/>
          <w:sz w:val="24"/>
          <w:szCs w:val="24"/>
          <w:lang w:eastAsia="ru-RU"/>
        </w:rPr>
        <w:t> </w:t>
      </w:r>
      <w:r w:rsidRPr="0088636D">
        <w:rPr>
          <w:rFonts w:ascii="Times New Roman" w:eastAsia="Times New Roman" w:hAnsi="Times New Roman" w:cs="Times New Roman"/>
          <w:sz w:val="24"/>
          <w:szCs w:val="24"/>
          <w:lang w:val="uk-UA" w:eastAsia="ru-RU"/>
        </w:rPr>
        <w:t>зменшення вартості терапії</w:t>
      </w:r>
    </w:p>
    <w:p w:rsidR="0088636D" w:rsidRPr="0088636D" w:rsidRDefault="0088636D" w:rsidP="0088636D">
      <w:pPr>
        <w:shd w:val="clear" w:color="auto" w:fill="FFFFFF"/>
        <w:spacing w:after="0" w:line="240" w:lineRule="auto"/>
        <w:ind w:firstLine="851"/>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eastAsia="ru-RU"/>
        </w:rPr>
        <w:t xml:space="preserve">Для кожного Препарату, який бере участь в </w:t>
      </w:r>
      <w:r w:rsidRPr="0088636D">
        <w:rPr>
          <w:rFonts w:ascii="Times New Roman" w:eastAsia="Times New Roman" w:hAnsi="Times New Roman" w:cs="Times New Roman"/>
          <w:sz w:val="24"/>
          <w:szCs w:val="24"/>
          <w:lang w:val="uk-UA" w:eastAsia="ru-RU"/>
        </w:rPr>
        <w:t>п</w:t>
      </w:r>
      <w:r w:rsidRPr="0088636D">
        <w:rPr>
          <w:rFonts w:ascii="Times New Roman" w:eastAsia="Times New Roman" w:hAnsi="Times New Roman" w:cs="Times New Roman"/>
          <w:sz w:val="24"/>
          <w:szCs w:val="24"/>
          <w:lang w:eastAsia="ru-RU"/>
        </w:rPr>
        <w:t>рограмі, визначена відповідна схема нарахування знижки. Знижка надається власникам пластикових карток «ТерапіяПЛЮС», які видаються пацієнтам, яким було прописано препарат</w:t>
      </w:r>
      <w:r w:rsidRPr="0088636D">
        <w:rPr>
          <w:rFonts w:ascii="Times New Roman" w:eastAsia="Times New Roman" w:hAnsi="Times New Roman" w:cs="Times New Roman"/>
          <w:sz w:val="24"/>
          <w:szCs w:val="24"/>
          <w:lang w:val="uk-UA" w:eastAsia="ru-RU"/>
        </w:rPr>
        <w:t xml:space="preserve">. </w:t>
      </w:r>
      <w:r w:rsidRPr="0088636D">
        <w:rPr>
          <w:rFonts w:ascii="Times New Roman" w:eastAsia="Times New Roman" w:hAnsi="Times New Roman" w:cs="Times New Roman"/>
          <w:bCs/>
          <w:sz w:val="24"/>
          <w:szCs w:val="24"/>
          <w:shd w:val="clear" w:color="auto" w:fill="FFFFFF"/>
          <w:lang w:eastAsia="ru-RU"/>
        </w:rPr>
        <w:t xml:space="preserve">Препарати, що включені до </w:t>
      </w:r>
      <w:r w:rsidRPr="0088636D">
        <w:rPr>
          <w:rFonts w:ascii="Times New Roman" w:eastAsia="Times New Roman" w:hAnsi="Times New Roman" w:cs="Times New Roman"/>
          <w:bCs/>
          <w:sz w:val="24"/>
          <w:szCs w:val="24"/>
          <w:shd w:val="clear" w:color="auto" w:fill="FFFFFF"/>
          <w:lang w:val="uk-UA" w:eastAsia="ru-RU"/>
        </w:rPr>
        <w:t>п</w:t>
      </w:r>
      <w:r w:rsidRPr="0088636D">
        <w:rPr>
          <w:rFonts w:ascii="Times New Roman" w:eastAsia="Times New Roman" w:hAnsi="Times New Roman" w:cs="Times New Roman"/>
          <w:bCs/>
          <w:sz w:val="24"/>
          <w:szCs w:val="24"/>
          <w:shd w:val="clear" w:color="auto" w:fill="FFFFFF"/>
          <w:lang w:eastAsia="ru-RU"/>
        </w:rPr>
        <w:t>рограми «ТерапіяПЛЮС»</w:t>
      </w:r>
      <w:r w:rsidRPr="0088636D">
        <w:rPr>
          <w:rFonts w:ascii="Times New Roman" w:eastAsia="Times New Roman" w:hAnsi="Times New Roman" w:cs="Times New Roman"/>
          <w:bCs/>
          <w:sz w:val="24"/>
          <w:szCs w:val="24"/>
          <w:shd w:val="clear" w:color="auto" w:fill="FFFFFF"/>
          <w:lang w:val="uk-UA" w:eastAsia="ru-RU"/>
        </w:rPr>
        <w:t xml:space="preserve">  та їх наявність в регулюючих переліках (слайд)</w:t>
      </w:r>
    </w:p>
    <w:tbl>
      <w:tblPr>
        <w:tblW w:w="9818" w:type="dxa"/>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3438"/>
        <w:gridCol w:w="1701"/>
        <w:gridCol w:w="1559"/>
        <w:gridCol w:w="1418"/>
        <w:gridCol w:w="1134"/>
      </w:tblGrid>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w:t>
            </w:r>
          </w:p>
        </w:tc>
        <w:tc>
          <w:tcPr>
            <w:tcW w:w="343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Назва та опис продукції</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Національний перелік</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Державний формуляр</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Ціна роздр</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Ціна програм</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Крестор</w:t>
            </w:r>
            <w:r w:rsidRPr="0088636D">
              <w:rPr>
                <w:rFonts w:ascii="Times New Roman" w:eastAsia="Times New Roman" w:hAnsi="Times New Roman" w:cs="Times New Roman"/>
                <w:b/>
                <w:sz w:val="24"/>
                <w:szCs w:val="24"/>
                <w:shd w:val="clear" w:color="auto" w:fill="FFFFFF"/>
                <w:lang w:eastAsia="ar-SA"/>
              </w:rPr>
              <w:t>,</w:t>
            </w:r>
            <w:r w:rsidRPr="0088636D">
              <w:rPr>
                <w:rFonts w:ascii="Times New Roman" w:eastAsia="Times New Roman" w:hAnsi="Times New Roman" w:cs="Times New Roman"/>
                <w:sz w:val="24"/>
                <w:szCs w:val="24"/>
                <w:shd w:val="clear" w:color="auto" w:fill="FFFFFF"/>
                <w:lang w:eastAsia="ar-SA"/>
              </w:rPr>
              <w:t xml:space="preserve">  </w:t>
            </w:r>
            <w:r w:rsidRPr="0088636D">
              <w:rPr>
                <w:rFonts w:ascii="Times New Roman" w:eastAsia="Times New Roman" w:hAnsi="Times New Roman" w:cs="Times New Roman"/>
                <w:sz w:val="24"/>
                <w:szCs w:val="24"/>
                <w:shd w:val="clear" w:color="auto" w:fill="FFFFFF"/>
                <w:lang w:val="uk-UA" w:eastAsia="ar-SA"/>
              </w:rPr>
              <w:t xml:space="preserve">таблетки </w:t>
            </w:r>
            <w:r w:rsidRPr="0088636D">
              <w:rPr>
                <w:rFonts w:ascii="Times New Roman" w:eastAsia="Times New Roman" w:hAnsi="Times New Roman" w:cs="Times New Roman"/>
                <w:sz w:val="24"/>
                <w:szCs w:val="24"/>
                <w:shd w:val="clear" w:color="auto" w:fill="FFFFFF"/>
                <w:lang w:eastAsia="ar-SA"/>
              </w:rPr>
              <w:t> 5 мг</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 xml:space="preserve"> </w:t>
            </w:r>
            <w:r w:rsidRPr="0088636D">
              <w:rPr>
                <w:rFonts w:ascii="Times New Roman" w:eastAsia="Times New Roman" w:hAnsi="Times New Roman" w:cs="Times New Roman"/>
                <w:sz w:val="24"/>
                <w:szCs w:val="24"/>
                <w:shd w:val="clear" w:color="auto" w:fill="FFFFFF"/>
                <w:lang w:val="uk-UA" w:eastAsia="ar-SA"/>
              </w:rPr>
              <w:t>№28</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183,40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146,72</w:t>
            </w:r>
          </w:p>
        </w:tc>
      </w:tr>
      <w:tr w:rsidR="0088636D" w:rsidRPr="0088636D" w:rsidTr="00956B42">
        <w:trPr>
          <w:trHeight w:val="423"/>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eastAsia="ar-SA"/>
              </w:rPr>
              <w:t>Крестор</w:t>
            </w:r>
            <w:r w:rsidRPr="0088636D">
              <w:rPr>
                <w:rFonts w:ascii="Times New Roman" w:eastAsia="Times New Roman" w:hAnsi="Times New Roman" w:cs="Times New Roman"/>
                <w:sz w:val="24"/>
                <w:szCs w:val="24"/>
                <w:lang w:eastAsia="ar-SA"/>
              </w:rPr>
              <w:t>,</w:t>
            </w:r>
            <w:r w:rsidRPr="0088636D">
              <w:rPr>
                <w:rFonts w:ascii="Times New Roman" w:eastAsia="Times New Roman" w:hAnsi="Times New Roman" w:cs="Times New Roman"/>
                <w:sz w:val="24"/>
                <w:szCs w:val="24"/>
                <w:lang w:val="uk-UA" w:eastAsia="ar-SA"/>
              </w:rPr>
              <w:t>таблетки</w:t>
            </w:r>
            <w:r w:rsidRPr="0088636D">
              <w:rPr>
                <w:rFonts w:ascii="Times New Roman" w:eastAsia="Times New Roman" w:hAnsi="Times New Roman" w:cs="Times New Roman"/>
                <w:sz w:val="24"/>
                <w:szCs w:val="24"/>
                <w:lang w:eastAsia="ar-SA"/>
              </w:rPr>
              <w:t> 10мг</w:t>
            </w:r>
            <w:r w:rsidRPr="0088636D">
              <w:rPr>
                <w:rFonts w:ascii="Times New Roman" w:eastAsia="Times New Roman" w:hAnsi="Times New Roman" w:cs="Times New Roman"/>
                <w:sz w:val="24"/>
                <w:szCs w:val="24"/>
                <w:lang w:val="uk-UA" w:eastAsia="ar-SA"/>
              </w:rPr>
              <w:t xml:space="preserve"> №28</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410,60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328,48</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3.</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Крестор</w:t>
            </w:r>
            <w:r w:rsidRPr="0088636D">
              <w:rPr>
                <w:rFonts w:ascii="Times New Roman" w:eastAsia="Times New Roman" w:hAnsi="Times New Roman" w:cs="Times New Roman"/>
                <w:sz w:val="24"/>
                <w:szCs w:val="24"/>
                <w:shd w:val="clear" w:color="auto" w:fill="FFFFFF"/>
                <w:lang w:eastAsia="ar-SA"/>
              </w:rPr>
              <w:t>, </w:t>
            </w:r>
            <w:r w:rsidRPr="0088636D">
              <w:rPr>
                <w:rFonts w:ascii="Times New Roman" w:eastAsia="Times New Roman" w:hAnsi="Times New Roman" w:cs="Times New Roman"/>
                <w:sz w:val="24"/>
                <w:szCs w:val="24"/>
                <w:shd w:val="clear" w:color="auto" w:fill="FFFFFF"/>
                <w:lang w:val="uk-UA" w:eastAsia="ar-SA"/>
              </w:rPr>
              <w:t xml:space="preserve"> таблетки </w:t>
            </w:r>
            <w:r w:rsidRPr="0088636D">
              <w:rPr>
                <w:rFonts w:ascii="Times New Roman" w:eastAsia="Times New Roman" w:hAnsi="Times New Roman" w:cs="Times New Roman"/>
                <w:sz w:val="24"/>
                <w:szCs w:val="24"/>
                <w:shd w:val="clear" w:color="auto" w:fill="FFFFFF"/>
                <w:lang w:eastAsia="ar-SA"/>
              </w:rPr>
              <w:t>20 мг</w:t>
            </w:r>
            <w:r w:rsidRPr="0088636D">
              <w:rPr>
                <w:rFonts w:ascii="Times New Roman" w:eastAsia="Times New Roman" w:hAnsi="Times New Roman" w:cs="Times New Roman"/>
                <w:sz w:val="24"/>
                <w:szCs w:val="24"/>
                <w:shd w:val="clear" w:color="auto" w:fill="FFFFFF"/>
                <w:lang w:val="uk-UA" w:eastAsia="ar-SA"/>
              </w:rPr>
              <w:t xml:space="preserve"> № 28</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583,75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467,00</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eastAsia="ar-SA"/>
              </w:rPr>
              <w:t>Крестор</w:t>
            </w:r>
            <w:r w:rsidRPr="0088636D">
              <w:rPr>
                <w:rFonts w:ascii="Times New Roman" w:eastAsia="Times New Roman" w:hAnsi="Times New Roman" w:cs="Times New Roman"/>
                <w:sz w:val="24"/>
                <w:szCs w:val="24"/>
                <w:lang w:eastAsia="ar-SA"/>
              </w:rPr>
              <w:t xml:space="preserve">, </w:t>
            </w:r>
            <w:r w:rsidRPr="0088636D">
              <w:rPr>
                <w:rFonts w:ascii="Times New Roman" w:eastAsia="Times New Roman" w:hAnsi="Times New Roman" w:cs="Times New Roman"/>
                <w:sz w:val="24"/>
                <w:szCs w:val="24"/>
                <w:lang w:val="uk-UA" w:eastAsia="ar-SA"/>
              </w:rPr>
              <w:t xml:space="preserve">таблетки </w:t>
            </w:r>
            <w:r w:rsidRPr="0088636D">
              <w:rPr>
                <w:rFonts w:ascii="Times New Roman" w:eastAsia="Times New Roman" w:hAnsi="Times New Roman" w:cs="Times New Roman"/>
                <w:sz w:val="24"/>
                <w:szCs w:val="24"/>
                <w:lang w:eastAsia="ar-SA"/>
              </w:rPr>
              <w:t> 40 мг</w:t>
            </w:r>
            <w:r w:rsidRPr="0088636D">
              <w:rPr>
                <w:rFonts w:ascii="Times New Roman" w:eastAsia="Times New Roman" w:hAnsi="Times New Roman" w:cs="Times New Roman"/>
                <w:sz w:val="24"/>
                <w:szCs w:val="24"/>
                <w:lang w:val="uk-UA" w:eastAsia="ar-SA"/>
              </w:rPr>
              <w:t xml:space="preserve"> №28</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718,10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574,48</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eastAsia="ar-SA"/>
              </w:rPr>
              <w:t>Онгліза</w:t>
            </w:r>
            <w:r w:rsidRPr="0088636D">
              <w:rPr>
                <w:rFonts w:ascii="Times New Roman" w:eastAsia="Times New Roman" w:hAnsi="Times New Roman" w:cs="Times New Roman"/>
                <w:sz w:val="24"/>
                <w:szCs w:val="24"/>
                <w:lang w:eastAsia="ar-SA"/>
              </w:rPr>
              <w:t>,</w:t>
            </w:r>
            <w:r w:rsidRPr="0088636D">
              <w:rPr>
                <w:rFonts w:ascii="Times New Roman" w:eastAsia="Times New Roman" w:hAnsi="Times New Roman" w:cs="Times New Roman"/>
                <w:sz w:val="24"/>
                <w:szCs w:val="24"/>
                <w:lang w:val="uk-UA" w:eastAsia="ar-SA"/>
              </w:rPr>
              <w:t xml:space="preserve">таблетки </w:t>
            </w:r>
            <w:r w:rsidRPr="0088636D">
              <w:rPr>
                <w:rFonts w:ascii="Times New Roman" w:eastAsia="Times New Roman" w:hAnsi="Times New Roman" w:cs="Times New Roman"/>
                <w:sz w:val="24"/>
                <w:szCs w:val="24"/>
                <w:lang w:eastAsia="ar-SA"/>
              </w:rPr>
              <w:t xml:space="preserve"> 2,5 мг</w:t>
            </w:r>
            <w:r w:rsidRPr="0088636D">
              <w:rPr>
                <w:rFonts w:ascii="Times New Roman" w:eastAsia="Times New Roman" w:hAnsi="Times New Roman" w:cs="Times New Roman"/>
                <w:sz w:val="24"/>
                <w:szCs w:val="24"/>
                <w:lang w:val="uk-UA" w:eastAsia="ar-SA"/>
              </w:rPr>
              <w:t xml:space="preserve"> №30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578,45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472,66</w:t>
            </w:r>
          </w:p>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lang w:val="uk-UA" w:eastAsia="ar-SA"/>
              </w:rPr>
            </w:pP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6.</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Онгліза</w:t>
            </w:r>
            <w:r w:rsidRPr="0088636D">
              <w:rPr>
                <w:rFonts w:ascii="Times New Roman" w:eastAsia="Times New Roman" w:hAnsi="Times New Roman" w:cs="Times New Roman"/>
                <w:sz w:val="24"/>
                <w:szCs w:val="24"/>
                <w:shd w:val="clear" w:color="auto" w:fill="FFFFFF"/>
                <w:lang w:eastAsia="ar-SA"/>
              </w:rPr>
              <w:t>,</w:t>
            </w:r>
            <w:r w:rsidRPr="0088636D">
              <w:rPr>
                <w:rFonts w:ascii="Times New Roman" w:eastAsia="Times New Roman" w:hAnsi="Times New Roman" w:cs="Times New Roman"/>
                <w:sz w:val="24"/>
                <w:szCs w:val="24"/>
                <w:shd w:val="clear" w:color="auto" w:fill="FFFFFF"/>
                <w:lang w:val="uk-UA" w:eastAsia="ar-SA"/>
              </w:rPr>
              <w:t xml:space="preserve">таблетки </w:t>
            </w:r>
            <w:r w:rsidRPr="0088636D">
              <w:rPr>
                <w:rFonts w:ascii="Times New Roman" w:eastAsia="Times New Roman" w:hAnsi="Times New Roman" w:cs="Times New Roman"/>
                <w:sz w:val="24"/>
                <w:szCs w:val="24"/>
                <w:shd w:val="clear" w:color="auto" w:fill="FFFFFF"/>
                <w:lang w:eastAsia="ar-SA"/>
              </w:rPr>
              <w:t xml:space="preserve"> 5 мг, </w:t>
            </w:r>
            <w:r w:rsidRPr="0088636D">
              <w:rPr>
                <w:rFonts w:ascii="Times New Roman" w:eastAsia="Times New Roman" w:hAnsi="Times New Roman" w:cs="Times New Roman"/>
                <w:sz w:val="24"/>
                <w:szCs w:val="24"/>
                <w:shd w:val="clear" w:color="auto" w:fill="FFFFFF"/>
                <w:lang w:val="uk-UA" w:eastAsia="ar-SA"/>
              </w:rPr>
              <w:t>№30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577,80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462,24</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7.</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Симбікорт Турбухалер</w:t>
            </w:r>
            <w:r w:rsidRPr="0088636D">
              <w:rPr>
                <w:rFonts w:ascii="Times New Roman" w:eastAsia="Times New Roman" w:hAnsi="Times New Roman" w:cs="Times New Roman"/>
                <w:sz w:val="24"/>
                <w:szCs w:val="24"/>
                <w:shd w:val="clear" w:color="auto" w:fill="FFFFFF"/>
                <w:lang w:eastAsia="ar-SA"/>
              </w:rPr>
              <w:t>, по 80 мкг/4,5 мкг/доза, по 60 доз у пластиковому інгаляторі</w:t>
            </w: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360,35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288,28</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8.</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Симбікорт Турбухалер</w:t>
            </w:r>
            <w:r w:rsidRPr="0088636D">
              <w:rPr>
                <w:rFonts w:ascii="Times New Roman" w:eastAsia="Times New Roman" w:hAnsi="Times New Roman" w:cs="Times New Roman"/>
                <w:sz w:val="24"/>
                <w:szCs w:val="24"/>
                <w:shd w:val="clear" w:color="auto" w:fill="FFFFFF"/>
                <w:lang w:eastAsia="ar-SA"/>
              </w:rPr>
              <w:t>,  по 160мкг/4,5 мкг/доза, по 60 доз у</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пластиковому інгаляторі</w:t>
            </w: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461,10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368,88</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lastRenderedPageBreak/>
              <w:t>9</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Симбікорт Турбухалер</w:t>
            </w:r>
            <w:r w:rsidRPr="0088636D">
              <w:rPr>
                <w:rFonts w:ascii="Times New Roman" w:eastAsia="Times New Roman" w:hAnsi="Times New Roman" w:cs="Times New Roman"/>
                <w:sz w:val="24"/>
                <w:szCs w:val="24"/>
                <w:shd w:val="clear" w:color="auto" w:fill="FFFFFF"/>
                <w:lang w:eastAsia="ar-SA"/>
              </w:rPr>
              <w:t>, 320 мкг/9,0мкг/доза, по 60 доз у пластиковому інгаляторі</w:t>
            </w: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1107,85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886,28</w:t>
            </w:r>
          </w:p>
        </w:tc>
      </w:tr>
      <w:tr w:rsidR="0088636D" w:rsidRPr="0088636D" w:rsidTr="00956B42">
        <w:trPr>
          <w:trHeight w:val="491"/>
          <w:jc w:val="center"/>
        </w:trPr>
        <w:tc>
          <w:tcPr>
            <w:tcW w:w="568" w:type="dxa"/>
          </w:tcPr>
          <w:p w:rsidR="0088636D" w:rsidRPr="0088636D" w:rsidRDefault="0088636D" w:rsidP="0088636D">
            <w:pPr>
              <w:suppressAutoHyphens/>
              <w:spacing w:after="0" w:line="240" w:lineRule="auto"/>
              <w:ind w:left="-851" w:firstLine="743"/>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10.</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 xml:space="preserve">Брилінта, </w:t>
            </w:r>
            <w:r w:rsidRPr="0088636D">
              <w:rPr>
                <w:rFonts w:ascii="Times New Roman" w:eastAsia="Times New Roman" w:hAnsi="Times New Roman" w:cs="Times New Roman"/>
                <w:bCs/>
                <w:sz w:val="24"/>
                <w:szCs w:val="24"/>
                <w:shd w:val="clear" w:color="auto" w:fill="FFFFFF"/>
                <w:lang w:eastAsia="ar-SA"/>
              </w:rPr>
              <w:t>таблетки</w:t>
            </w:r>
            <w:r w:rsidRPr="0088636D">
              <w:rPr>
                <w:rFonts w:ascii="Times New Roman" w:eastAsia="Times New Roman" w:hAnsi="Times New Roman" w:cs="Times New Roman"/>
                <w:b/>
                <w:sz w:val="24"/>
                <w:szCs w:val="24"/>
                <w:shd w:val="clear" w:color="auto" w:fill="FFFFFF"/>
                <w:lang w:eastAsia="ar-SA"/>
              </w:rPr>
              <w:t>,</w:t>
            </w:r>
            <w:r w:rsidRPr="0088636D">
              <w:rPr>
                <w:rFonts w:ascii="Times New Roman" w:eastAsia="Times New Roman" w:hAnsi="Times New Roman" w:cs="Times New Roman"/>
                <w:sz w:val="24"/>
                <w:szCs w:val="24"/>
                <w:shd w:val="clear" w:color="auto" w:fill="FFFFFF"/>
                <w:lang w:eastAsia="ar-SA"/>
              </w:rPr>
              <w:t xml:space="preserve"> 90 мг, </w:t>
            </w:r>
            <w:r w:rsidRPr="0088636D">
              <w:rPr>
                <w:rFonts w:ascii="Times New Roman" w:eastAsia="Times New Roman" w:hAnsi="Times New Roman" w:cs="Times New Roman"/>
                <w:sz w:val="24"/>
                <w:szCs w:val="24"/>
                <w:shd w:val="clear" w:color="auto" w:fill="FFFFFF"/>
                <w:lang w:val="uk-UA" w:eastAsia="ar-SA"/>
              </w:rPr>
              <w:t>№46</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1754,65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1403,72</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11.</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Атаканд</w:t>
            </w:r>
            <w:r w:rsidRPr="0088636D">
              <w:rPr>
                <w:rFonts w:ascii="Times New Roman" w:eastAsia="Times New Roman" w:hAnsi="Times New Roman" w:cs="Times New Roman"/>
                <w:sz w:val="24"/>
                <w:szCs w:val="24"/>
                <w:shd w:val="clear" w:color="auto" w:fill="FFFFFF"/>
                <w:lang w:eastAsia="ar-SA"/>
              </w:rPr>
              <w:t xml:space="preserve">, таблетки по 8 мг, </w:t>
            </w:r>
            <w:r w:rsidRPr="0088636D">
              <w:rPr>
                <w:rFonts w:ascii="Times New Roman" w:eastAsia="Times New Roman" w:hAnsi="Times New Roman" w:cs="Times New Roman"/>
                <w:sz w:val="24"/>
                <w:szCs w:val="24"/>
                <w:shd w:val="clear" w:color="auto" w:fill="FFFFFF"/>
                <w:lang w:val="uk-UA" w:eastAsia="ar-SA"/>
              </w:rPr>
              <w:t>№28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378,35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302,68</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12.</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lang w:eastAsia="ar-SA"/>
              </w:rPr>
              <w:t>Атаканд</w:t>
            </w:r>
            <w:r w:rsidRPr="0088636D">
              <w:rPr>
                <w:rFonts w:ascii="Times New Roman" w:eastAsia="Times New Roman" w:hAnsi="Times New Roman" w:cs="Times New Roman"/>
                <w:b/>
                <w:sz w:val="24"/>
                <w:szCs w:val="24"/>
                <w:lang w:eastAsia="ar-SA"/>
              </w:rPr>
              <w:t xml:space="preserve">, </w:t>
            </w:r>
            <w:r w:rsidRPr="0088636D">
              <w:rPr>
                <w:rFonts w:ascii="Times New Roman" w:eastAsia="Times New Roman" w:hAnsi="Times New Roman" w:cs="Times New Roman"/>
                <w:sz w:val="24"/>
                <w:szCs w:val="24"/>
                <w:lang w:eastAsia="ar-SA"/>
              </w:rPr>
              <w:t xml:space="preserve">таблетки по 16 мг, </w:t>
            </w:r>
            <w:r w:rsidRPr="0088636D">
              <w:rPr>
                <w:rFonts w:ascii="Times New Roman" w:eastAsia="Times New Roman" w:hAnsi="Times New Roman" w:cs="Times New Roman"/>
                <w:sz w:val="24"/>
                <w:szCs w:val="24"/>
                <w:lang w:val="uk-UA" w:eastAsia="ar-SA"/>
              </w:rPr>
              <w:t>№48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lang w:val="uk-UA" w:eastAsia="ar-SA"/>
              </w:rPr>
            </w:pPr>
            <w:r w:rsidRPr="0088636D">
              <w:rPr>
                <w:rFonts w:ascii="Times New Roman" w:eastAsia="Times New Roman" w:hAnsi="Times New Roman" w:cs="Times New Roman"/>
                <w:b/>
                <w:bCs/>
                <w:sz w:val="24"/>
                <w:szCs w:val="24"/>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483,45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lang w:val="uk-UA" w:eastAsia="ar-SA"/>
              </w:rPr>
            </w:pPr>
            <w:r w:rsidRPr="0088636D">
              <w:rPr>
                <w:rFonts w:ascii="Times New Roman" w:eastAsia="Times New Roman" w:hAnsi="Times New Roman" w:cs="Times New Roman"/>
                <w:bCs/>
                <w:sz w:val="24"/>
                <w:szCs w:val="24"/>
                <w:lang w:val="uk-UA" w:eastAsia="ar-SA"/>
              </w:rPr>
              <w:t>386,76</w:t>
            </w:r>
          </w:p>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p>
        </w:tc>
      </w:tr>
      <w:tr w:rsidR="0088636D" w:rsidRPr="0088636D" w:rsidTr="00956B42">
        <w:trPr>
          <w:trHeight w:val="356"/>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13.</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КомбоглізаXR</w:t>
            </w:r>
            <w:r w:rsidRPr="0088636D">
              <w:rPr>
                <w:rFonts w:ascii="Times New Roman" w:eastAsia="Times New Roman" w:hAnsi="Times New Roman" w:cs="Times New Roman"/>
                <w:sz w:val="24"/>
                <w:szCs w:val="24"/>
                <w:shd w:val="clear" w:color="auto" w:fill="FFFFFF"/>
                <w:lang w:eastAsia="ar-SA"/>
              </w:rPr>
              <w:t xml:space="preserve">, таблетки, по 2,5 мг /1000 </w:t>
            </w:r>
            <w:r w:rsidRPr="0088636D">
              <w:rPr>
                <w:rFonts w:ascii="Times New Roman" w:eastAsia="Times New Roman" w:hAnsi="Times New Roman" w:cs="Times New Roman"/>
                <w:sz w:val="24"/>
                <w:szCs w:val="24"/>
                <w:shd w:val="clear" w:color="auto" w:fill="FFFFFF"/>
                <w:lang w:val="uk-UA" w:eastAsia="ar-SA"/>
              </w:rPr>
              <w:t>№ 48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588,40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470,72</w:t>
            </w:r>
          </w:p>
        </w:tc>
      </w:tr>
      <w:tr w:rsidR="0088636D" w:rsidRPr="0088636D" w:rsidTr="00956B42">
        <w:trPr>
          <w:trHeight w:val="356"/>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14.</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КомбоглізаXR</w:t>
            </w:r>
            <w:r w:rsidRPr="0088636D">
              <w:rPr>
                <w:rFonts w:ascii="Times New Roman" w:eastAsia="Times New Roman" w:hAnsi="Times New Roman" w:cs="Times New Roman"/>
                <w:sz w:val="24"/>
                <w:szCs w:val="24"/>
                <w:shd w:val="clear" w:color="auto" w:fill="FFFFFF"/>
                <w:lang w:eastAsia="ar-SA"/>
              </w:rPr>
              <w:t>, таблетки, по 5 мг /500 мг</w:t>
            </w:r>
            <w:r w:rsidRPr="0088636D">
              <w:rPr>
                <w:rFonts w:ascii="Times New Roman" w:eastAsia="Times New Roman" w:hAnsi="Times New Roman" w:cs="Times New Roman"/>
                <w:sz w:val="24"/>
                <w:szCs w:val="24"/>
                <w:shd w:val="clear" w:color="auto" w:fill="FFFFFF"/>
                <w:lang w:val="uk-UA" w:eastAsia="ar-SA"/>
              </w:rPr>
              <w:t>48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1007,25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805,80</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15.</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КомбоглізаXR</w:t>
            </w:r>
            <w:r w:rsidRPr="0088636D">
              <w:rPr>
                <w:rFonts w:ascii="Times New Roman" w:eastAsia="Times New Roman" w:hAnsi="Times New Roman" w:cs="Times New Roman"/>
                <w:sz w:val="24"/>
                <w:szCs w:val="24"/>
                <w:shd w:val="clear" w:color="auto" w:fill="FFFFFF"/>
                <w:lang w:eastAsia="ar-SA"/>
              </w:rPr>
              <w:t>, таблетки, , по 5 мг /1000 мг</w:t>
            </w:r>
            <w:r w:rsidRPr="0088636D">
              <w:rPr>
                <w:rFonts w:ascii="Times New Roman" w:eastAsia="Times New Roman" w:hAnsi="Times New Roman" w:cs="Times New Roman"/>
                <w:sz w:val="24"/>
                <w:szCs w:val="24"/>
                <w:shd w:val="clear" w:color="auto" w:fill="FFFFFF"/>
                <w:lang w:val="uk-UA" w:eastAsia="ar-SA"/>
              </w:rPr>
              <w:t>№48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884,70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707,76</w:t>
            </w:r>
          </w:p>
        </w:tc>
      </w:tr>
      <w:tr w:rsidR="0088636D" w:rsidRPr="0088636D" w:rsidTr="00956B42">
        <w:trPr>
          <w:trHeight w:val="356"/>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16.</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Форксіга</w:t>
            </w:r>
            <w:r w:rsidRPr="0088636D">
              <w:rPr>
                <w:rFonts w:ascii="Times New Roman" w:eastAsia="Times New Roman" w:hAnsi="Times New Roman" w:cs="Times New Roman"/>
                <w:sz w:val="24"/>
                <w:szCs w:val="24"/>
                <w:shd w:val="clear" w:color="auto" w:fill="FFFFFF"/>
                <w:lang w:eastAsia="ar-SA"/>
              </w:rPr>
              <w:t>, таблетки,по 10 мг</w:t>
            </w:r>
            <w:r w:rsidRPr="0088636D">
              <w:rPr>
                <w:rFonts w:ascii="Times New Roman" w:eastAsia="Times New Roman" w:hAnsi="Times New Roman" w:cs="Times New Roman"/>
                <w:sz w:val="24"/>
                <w:szCs w:val="24"/>
                <w:shd w:val="clear" w:color="auto" w:fill="FFFFFF"/>
                <w:lang w:val="uk-UA" w:eastAsia="ar-SA"/>
              </w:rPr>
              <w:t>,№30</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722,10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577,68</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17.</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Ксігдуо Пролонг</w:t>
            </w:r>
            <w:r w:rsidRPr="0088636D">
              <w:rPr>
                <w:rFonts w:ascii="Times New Roman" w:eastAsia="Times New Roman" w:hAnsi="Times New Roman" w:cs="Times New Roman"/>
                <w:sz w:val="24"/>
                <w:szCs w:val="24"/>
                <w:shd w:val="clear" w:color="auto" w:fill="FFFFFF"/>
                <w:lang w:eastAsia="ar-SA"/>
              </w:rPr>
              <w:t xml:space="preserve">, таблетки по 5 мг /1000 мг, </w:t>
            </w:r>
            <w:r w:rsidRPr="0088636D">
              <w:rPr>
                <w:rFonts w:ascii="Times New Roman" w:eastAsia="Times New Roman" w:hAnsi="Times New Roman" w:cs="Times New Roman"/>
                <w:sz w:val="24"/>
                <w:szCs w:val="24"/>
                <w:shd w:val="clear" w:color="auto" w:fill="FFFFFF"/>
                <w:lang w:val="uk-UA" w:eastAsia="ar-SA"/>
              </w:rPr>
              <w:t>№24</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643,55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514,85</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18.</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Ксігдуо Пролонг</w:t>
            </w:r>
            <w:r w:rsidRPr="0088636D">
              <w:rPr>
                <w:rFonts w:ascii="Times New Roman" w:eastAsia="Times New Roman" w:hAnsi="Times New Roman" w:cs="Times New Roman"/>
                <w:sz w:val="24"/>
                <w:szCs w:val="24"/>
                <w:shd w:val="clear" w:color="auto" w:fill="FFFFFF"/>
                <w:lang w:eastAsia="ar-SA"/>
              </w:rPr>
              <w:t xml:space="preserve">, таблетки по 10 мг /1000 мг, </w:t>
            </w:r>
            <w:r w:rsidRPr="0088636D">
              <w:rPr>
                <w:rFonts w:ascii="Times New Roman" w:eastAsia="Times New Roman" w:hAnsi="Times New Roman" w:cs="Times New Roman"/>
                <w:sz w:val="24"/>
                <w:szCs w:val="24"/>
                <w:shd w:val="clear" w:color="auto" w:fill="FFFFFF"/>
                <w:lang w:val="uk-UA" w:eastAsia="ar-SA"/>
              </w:rPr>
              <w:t>№28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909,80</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727,84</w:t>
            </w:r>
          </w:p>
        </w:tc>
      </w:tr>
      <w:tr w:rsidR="0088636D" w:rsidRPr="0088636D" w:rsidTr="00956B42">
        <w:trPr>
          <w:trHeight w:val="382"/>
          <w:jc w:val="center"/>
        </w:trPr>
        <w:tc>
          <w:tcPr>
            <w:tcW w:w="568" w:type="dxa"/>
          </w:tcPr>
          <w:p w:rsidR="0088636D" w:rsidRPr="0088636D" w:rsidRDefault="0088636D" w:rsidP="0088636D">
            <w:pPr>
              <w:suppressAutoHyphens/>
              <w:spacing w:after="0" w:line="240" w:lineRule="auto"/>
              <w:ind w:left="-851" w:firstLine="85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19.</w:t>
            </w:r>
          </w:p>
        </w:tc>
        <w:tc>
          <w:tcPr>
            <w:tcW w:w="3438" w:type="dxa"/>
          </w:tcPr>
          <w:p w:rsidR="0088636D" w:rsidRPr="0088636D" w:rsidRDefault="0088636D" w:rsidP="0088636D">
            <w:pPr>
              <w:suppressAutoHyphens/>
              <w:spacing w:after="0" w:line="240" w:lineRule="auto"/>
              <w:ind w:hanging="31"/>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bCs/>
                <w:sz w:val="24"/>
                <w:szCs w:val="24"/>
                <w:shd w:val="clear" w:color="auto" w:fill="FFFFFF"/>
                <w:lang w:eastAsia="ar-SA"/>
              </w:rPr>
              <w:t>Ксігдуо Пролонг</w:t>
            </w:r>
            <w:r w:rsidRPr="0088636D">
              <w:rPr>
                <w:rFonts w:ascii="Times New Roman" w:eastAsia="Times New Roman" w:hAnsi="Times New Roman" w:cs="Times New Roman"/>
                <w:sz w:val="24"/>
                <w:szCs w:val="24"/>
                <w:shd w:val="clear" w:color="auto" w:fill="FFFFFF"/>
                <w:lang w:eastAsia="ar-SA"/>
              </w:rPr>
              <w:t xml:space="preserve">, таблетки, по 10 мг /500 мг, </w:t>
            </w:r>
            <w:r w:rsidRPr="0088636D">
              <w:rPr>
                <w:rFonts w:ascii="Times New Roman" w:eastAsia="Times New Roman" w:hAnsi="Times New Roman" w:cs="Times New Roman"/>
                <w:sz w:val="24"/>
                <w:szCs w:val="24"/>
                <w:shd w:val="clear" w:color="auto" w:fill="FFFFFF"/>
                <w:lang w:val="uk-UA" w:eastAsia="ar-SA"/>
              </w:rPr>
              <w:t>№28</w:t>
            </w:r>
          </w:p>
        </w:tc>
        <w:tc>
          <w:tcPr>
            <w:tcW w:w="1701"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b/>
                <w:bCs/>
                <w:sz w:val="24"/>
                <w:szCs w:val="24"/>
                <w:shd w:val="clear" w:color="auto" w:fill="FFFFFF"/>
                <w:lang w:val="uk-UA" w:eastAsia="ar-SA"/>
              </w:rPr>
            </w:pPr>
            <w:r w:rsidRPr="0088636D">
              <w:rPr>
                <w:rFonts w:ascii="Times New Roman" w:eastAsia="Times New Roman" w:hAnsi="Times New Roman" w:cs="Times New Roman"/>
                <w:b/>
                <w:bCs/>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905,05</w:t>
            </w:r>
          </w:p>
        </w:tc>
        <w:tc>
          <w:tcPr>
            <w:tcW w:w="1134" w:type="dxa"/>
          </w:tcPr>
          <w:p w:rsidR="0088636D" w:rsidRPr="0088636D" w:rsidRDefault="0088636D" w:rsidP="0088636D">
            <w:pPr>
              <w:suppressAutoHyphens/>
              <w:spacing w:after="0" w:line="240" w:lineRule="auto"/>
              <w:jc w:val="both"/>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Cs/>
                <w:sz w:val="24"/>
                <w:szCs w:val="24"/>
                <w:shd w:val="clear" w:color="auto" w:fill="FFFFFF"/>
                <w:lang w:val="uk-UA" w:eastAsia="ar-SA"/>
              </w:rPr>
              <w:t>724,04</w:t>
            </w:r>
          </w:p>
        </w:tc>
      </w:tr>
    </w:tbl>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Отже, з переліку препаратів, що входять до прорами «Терапія Плюс» 8  препаратів включені в Національний перелік основних ЛЗ, 20 пристуні в Державному формулярі.  </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bCs/>
          <w:sz w:val="24"/>
          <w:szCs w:val="24"/>
          <w:shd w:val="clear" w:color="auto" w:fill="FFFFFF"/>
          <w:lang w:val="uk-UA" w:eastAsia="ru-RU"/>
        </w:rPr>
      </w:pPr>
      <w:r w:rsidRPr="0088636D">
        <w:rPr>
          <w:rFonts w:ascii="Times New Roman" w:eastAsia="Times New Roman" w:hAnsi="Times New Roman" w:cs="Times New Roman"/>
          <w:sz w:val="24"/>
          <w:szCs w:val="24"/>
          <w:lang w:val="uk-UA" w:eastAsia="ru-RU"/>
        </w:rPr>
        <w:t xml:space="preserve">- </w:t>
      </w:r>
      <w:r w:rsidRPr="0088636D">
        <w:rPr>
          <w:rFonts w:ascii="Times New Roman" w:eastAsia="Times New Roman" w:hAnsi="Times New Roman" w:cs="Times New Roman"/>
          <w:b/>
          <w:sz w:val="24"/>
          <w:szCs w:val="24"/>
          <w:lang w:val="uk-UA" w:eastAsia="ru-RU"/>
        </w:rPr>
        <w:t>«Оранж кард»</w:t>
      </w:r>
      <w:r w:rsidRPr="0088636D">
        <w:rPr>
          <w:rFonts w:ascii="Times New Roman" w:eastAsia="Times New Roman" w:hAnsi="Times New Roman" w:cs="Times New Roman"/>
          <w:sz w:val="24"/>
          <w:szCs w:val="24"/>
          <w:lang w:val="uk-UA" w:eastAsia="ru-RU"/>
        </w:rPr>
        <w:t xml:space="preserve"> - програма, націлена на підтримку пацієнтів з бронхіальною астмою. Програма організована компанією ТОВ «ГлаксоСмітКляйн Фармасютікалс» в 2001 р. У 2003 року ініціатива компанії ТОВ «ГлаксоСмітКляйн Фармасьютікалс» «Оранж кард» відзначена премією «Корпоративна соціальна  відповідальність в США», після чого вона переросла в масштабний проект «GSK For You» і «TogetherRx», до якого входять 18 мультинаціональних фармацевтичних компаній. П</w:t>
      </w:r>
      <w:r w:rsidRPr="0088636D">
        <w:rPr>
          <w:rFonts w:ascii="Times New Roman" w:eastAsia="Times New Roman" w:hAnsi="Times New Roman" w:cs="Times New Roman"/>
          <w:bCs/>
          <w:sz w:val="24"/>
          <w:szCs w:val="24"/>
          <w:shd w:val="clear" w:color="auto" w:fill="FFFFFF"/>
          <w:lang w:eastAsia="ru-RU"/>
        </w:rPr>
        <w:t xml:space="preserve">репарати, що включені до </w:t>
      </w:r>
      <w:r w:rsidRPr="0088636D">
        <w:rPr>
          <w:rFonts w:ascii="Times New Roman" w:eastAsia="Times New Roman" w:hAnsi="Times New Roman" w:cs="Times New Roman"/>
          <w:bCs/>
          <w:sz w:val="24"/>
          <w:szCs w:val="24"/>
          <w:shd w:val="clear" w:color="auto" w:fill="FFFFFF"/>
          <w:lang w:val="uk-UA" w:eastAsia="ru-RU"/>
        </w:rPr>
        <w:t>п</w:t>
      </w:r>
      <w:r w:rsidRPr="0088636D">
        <w:rPr>
          <w:rFonts w:ascii="Times New Roman" w:eastAsia="Times New Roman" w:hAnsi="Times New Roman" w:cs="Times New Roman"/>
          <w:bCs/>
          <w:sz w:val="24"/>
          <w:szCs w:val="24"/>
          <w:shd w:val="clear" w:color="auto" w:fill="FFFFFF"/>
          <w:lang w:eastAsia="ru-RU"/>
        </w:rPr>
        <w:t xml:space="preserve">рограми </w:t>
      </w:r>
      <w:r w:rsidRPr="0088636D">
        <w:rPr>
          <w:rFonts w:ascii="Times New Roman" w:eastAsia="Times New Roman" w:hAnsi="Times New Roman" w:cs="Times New Roman"/>
          <w:sz w:val="24"/>
          <w:szCs w:val="24"/>
          <w:lang w:val="uk-UA" w:eastAsia="ru-RU"/>
        </w:rPr>
        <w:t xml:space="preserve">«Оранж кард» </w:t>
      </w:r>
      <w:r w:rsidRPr="0088636D">
        <w:rPr>
          <w:rFonts w:ascii="Times New Roman" w:eastAsia="Times New Roman" w:hAnsi="Times New Roman" w:cs="Times New Roman"/>
          <w:bCs/>
          <w:sz w:val="24"/>
          <w:szCs w:val="24"/>
          <w:shd w:val="clear" w:color="auto" w:fill="FFFFFF"/>
          <w:lang w:val="uk-UA" w:eastAsia="ru-RU"/>
        </w:rPr>
        <w:t>та їх наявність в регулюючих переліках (слайд)</w:t>
      </w:r>
    </w:p>
    <w:p w:rsidR="0088636D" w:rsidRPr="0088636D" w:rsidRDefault="0088636D" w:rsidP="0088636D">
      <w:pPr>
        <w:shd w:val="clear" w:color="auto" w:fill="FFFFFF"/>
        <w:spacing w:after="0" w:line="240" w:lineRule="auto"/>
        <w:ind w:firstLine="708"/>
        <w:jc w:val="both"/>
        <w:rPr>
          <w:rFonts w:ascii="Times New Roman" w:eastAsia="Times New Roman" w:hAnsi="Times New Roman" w:cs="Times New Roman"/>
          <w:bCs/>
          <w:sz w:val="24"/>
          <w:szCs w:val="24"/>
          <w:shd w:val="clear" w:color="auto" w:fill="FFFFFF"/>
          <w:lang w:val="uk-UA" w:eastAsia="ru-RU"/>
        </w:rPr>
      </w:pPr>
    </w:p>
    <w:tbl>
      <w:tblPr>
        <w:tblW w:w="9712" w:type="dxa"/>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9"/>
        <w:gridCol w:w="2774"/>
        <w:gridCol w:w="1984"/>
        <w:gridCol w:w="1701"/>
        <w:gridCol w:w="1134"/>
        <w:gridCol w:w="1560"/>
      </w:tblGrid>
      <w:tr w:rsidR="0088636D" w:rsidRPr="0088636D" w:rsidTr="00956B42">
        <w:trPr>
          <w:trHeight w:val="934"/>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 </w:t>
            </w:r>
          </w:p>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з/п</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Назва та опис продукції</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 xml:space="preserve">Національний перелік </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Державний формуляр</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Ціна роздр.</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color w:val="000000"/>
                <w:sz w:val="24"/>
                <w:szCs w:val="24"/>
                <w:lang w:val="uk-UA" w:eastAsia="ar-SA"/>
              </w:rPr>
              <w:t>Ціна програм.</w:t>
            </w:r>
          </w:p>
        </w:tc>
      </w:tr>
      <w:tr w:rsidR="0088636D" w:rsidRPr="0088636D" w:rsidTr="00956B42">
        <w:trPr>
          <w:trHeight w:val="557"/>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Эвохалер аэр.</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25мкг/50мкг 120д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724,45</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79,56</w:t>
            </w:r>
          </w:p>
        </w:tc>
      </w:tr>
      <w:tr w:rsidR="0088636D" w:rsidRPr="0088636D" w:rsidTr="00956B42">
        <w:trPr>
          <w:trHeight w:val="415"/>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Эвохалер аэр.</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25мкг/125мкг 120д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500,90</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400,72</w:t>
            </w:r>
          </w:p>
        </w:tc>
      </w:tr>
      <w:tr w:rsidR="0088636D" w:rsidRPr="0088636D" w:rsidTr="00956B42">
        <w:trPr>
          <w:trHeight w:val="564"/>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Дискус пор.д/инг.50/500мкг 60</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833,10</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66,48</w:t>
            </w:r>
          </w:p>
        </w:tc>
      </w:tr>
      <w:tr w:rsidR="0088636D" w:rsidRPr="0088636D" w:rsidTr="00956B42">
        <w:trPr>
          <w:trHeight w:val="557"/>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4</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Эвохалер аэр.</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25мкг/250мкг 120д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724,45</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579,56</w:t>
            </w:r>
          </w:p>
        </w:tc>
      </w:tr>
      <w:tr w:rsidR="0088636D" w:rsidRPr="0088636D" w:rsidTr="00956B42">
        <w:trPr>
          <w:trHeight w:val="616"/>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Дискус пор.д/инг.</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50/250мкг 60д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576,05</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460,84</w:t>
            </w:r>
          </w:p>
        </w:tc>
      </w:tr>
      <w:tr w:rsidR="0088636D" w:rsidRPr="0088636D" w:rsidTr="00956B42">
        <w:trPr>
          <w:trHeight w:val="140"/>
          <w:jc w:val="center"/>
        </w:trPr>
        <w:tc>
          <w:tcPr>
            <w:tcW w:w="559"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6</w:t>
            </w:r>
          </w:p>
        </w:tc>
        <w:tc>
          <w:tcPr>
            <w:tcW w:w="277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shd w:val="clear" w:color="auto" w:fill="FFFFFF"/>
                <w:lang w:eastAsia="ar-SA"/>
              </w:rPr>
              <w:t>Серетид Дискус пор.д/инг.</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50/100мкг 60д</w:t>
            </w:r>
          </w:p>
        </w:tc>
        <w:tc>
          <w:tcPr>
            <w:tcW w:w="198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701"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134"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449,10</w:t>
            </w:r>
          </w:p>
        </w:tc>
        <w:tc>
          <w:tcPr>
            <w:tcW w:w="1560" w:type="dxa"/>
          </w:tcPr>
          <w:p w:rsidR="0088636D" w:rsidRPr="0088636D" w:rsidRDefault="0088636D" w:rsidP="008863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359,28</w:t>
            </w:r>
          </w:p>
        </w:tc>
      </w:tr>
    </w:tbl>
    <w:p w:rsidR="0088636D" w:rsidRPr="0088636D" w:rsidRDefault="0088636D" w:rsidP="0088636D">
      <w:pPr>
        <w:shd w:val="clear" w:color="auto" w:fill="FFFFFF"/>
        <w:suppressAutoHyphens/>
        <w:spacing w:after="0" w:line="240" w:lineRule="auto"/>
        <w:ind w:firstLine="851"/>
        <w:jc w:val="both"/>
        <w:outlineLvl w:val="1"/>
        <w:rPr>
          <w:rFonts w:ascii="Times New Roman" w:eastAsia="Times New Roman" w:hAnsi="Times New Roman" w:cs="Times New Roman"/>
          <w:bCs/>
          <w:sz w:val="24"/>
          <w:szCs w:val="24"/>
          <w:lang w:val="uk-UA" w:eastAsia="ru-RU"/>
        </w:rPr>
      </w:pPr>
    </w:p>
    <w:p w:rsidR="0088636D" w:rsidRPr="0088636D" w:rsidRDefault="0088636D" w:rsidP="0088636D">
      <w:pPr>
        <w:shd w:val="clear" w:color="auto" w:fill="FFFFFF"/>
        <w:suppressAutoHyphens/>
        <w:spacing w:after="0" w:line="240" w:lineRule="auto"/>
        <w:ind w:firstLine="708"/>
        <w:jc w:val="both"/>
        <w:outlineLvl w:val="1"/>
        <w:rPr>
          <w:rFonts w:ascii="Times New Roman" w:eastAsia="Times New Roman" w:hAnsi="Times New Roman" w:cs="Times New Roman"/>
          <w:bCs/>
          <w:sz w:val="24"/>
          <w:szCs w:val="24"/>
          <w:lang w:val="uk-UA" w:eastAsia="ru-RU"/>
        </w:rPr>
      </w:pPr>
      <w:r w:rsidRPr="0088636D">
        <w:rPr>
          <w:rFonts w:ascii="Times New Roman" w:eastAsia="Times New Roman" w:hAnsi="Times New Roman" w:cs="Times New Roman"/>
          <w:bCs/>
          <w:sz w:val="24"/>
          <w:szCs w:val="24"/>
          <w:lang w:val="uk-UA" w:eastAsia="ru-RU"/>
        </w:rPr>
        <w:t>Отже всі ЛЗ, що входять до програми наявні в Національному переліку ОЛЗ та в Державному формулярі.</w:t>
      </w:r>
    </w:p>
    <w:p w:rsidR="0088636D" w:rsidRPr="0088636D" w:rsidRDefault="0088636D" w:rsidP="008512F9">
      <w:pPr>
        <w:numPr>
          <w:ilvl w:val="0"/>
          <w:numId w:val="12"/>
        </w:numPr>
        <w:shd w:val="clear" w:color="auto" w:fill="FFFFFF"/>
        <w:suppressAutoHyphens/>
        <w:spacing w:after="0" w:line="240" w:lineRule="auto"/>
        <w:ind w:left="-426"/>
        <w:jc w:val="both"/>
        <w:outlineLvl w:val="1"/>
        <w:rPr>
          <w:rFonts w:ascii="Times New Roman" w:eastAsia="Times New Roman" w:hAnsi="Times New Roman" w:cs="Times New Roman"/>
          <w:b/>
          <w:sz w:val="24"/>
          <w:szCs w:val="24"/>
          <w:lang w:val="uk-UA" w:eastAsia="ru-RU"/>
        </w:rPr>
      </w:pPr>
      <w:r w:rsidRPr="0088636D">
        <w:rPr>
          <w:rFonts w:ascii="Times New Roman" w:eastAsia="Times New Roman" w:hAnsi="Times New Roman" w:cs="Times New Roman"/>
          <w:bCs/>
          <w:sz w:val="24"/>
          <w:szCs w:val="24"/>
          <w:lang w:val="uk-UA" w:eastAsia="ru-RU"/>
        </w:rPr>
        <w:lastRenderedPageBreak/>
        <w:t xml:space="preserve"> </w:t>
      </w:r>
      <w:r w:rsidRPr="0088636D">
        <w:rPr>
          <w:rFonts w:ascii="Times New Roman" w:eastAsia="Times New Roman" w:hAnsi="Times New Roman" w:cs="Times New Roman"/>
          <w:b/>
          <w:bCs/>
          <w:sz w:val="24"/>
          <w:szCs w:val="24"/>
          <w:lang w:val="uk-UA" w:eastAsia="ru-RU"/>
        </w:rPr>
        <w:t xml:space="preserve">«З турботую про сіввічизника» </w:t>
      </w:r>
      <w:r w:rsidRPr="0088636D">
        <w:rPr>
          <w:rFonts w:ascii="Times New Roman" w:eastAsia="Times New Roman" w:hAnsi="Times New Roman" w:cs="Times New Roman"/>
          <w:sz w:val="24"/>
          <w:szCs w:val="24"/>
          <w:lang w:val="uk-UA" w:eastAsia="ar-SA"/>
        </w:rPr>
        <w:t>- програма, націлена на підтримку пацієнтів з епілепсія, артеріальна гіпертензія, ішемічна хвороба серця, вірусний гепатит С. Для того, щоб пацієнт зміг отримати соціальну упаковку, він повинен отримати у лікаря Соціальну картку. В аптеці, купуючи прописану лікарем упаковку, пацієнт обмінює картку на додаткову соціальну упаковку ліки.</w:t>
      </w:r>
      <w:r w:rsidRPr="0088636D">
        <w:rPr>
          <w:rFonts w:ascii="Times New Roman" w:eastAsia="Times New Roman" w:hAnsi="Times New Roman" w:cs="Times New Roman"/>
          <w:b/>
          <w:sz w:val="24"/>
          <w:szCs w:val="24"/>
          <w:lang w:val="uk-UA" w:eastAsia="ru-RU"/>
        </w:rPr>
        <w:t xml:space="preserve"> </w:t>
      </w:r>
      <w:r w:rsidRPr="0088636D">
        <w:rPr>
          <w:rFonts w:ascii="Times New Roman" w:eastAsia="Times New Roman" w:hAnsi="Times New Roman" w:cs="Times New Roman"/>
          <w:bCs/>
          <w:sz w:val="24"/>
          <w:szCs w:val="24"/>
          <w:shd w:val="clear" w:color="auto" w:fill="FFFFFF"/>
          <w:lang w:eastAsia="ar-SA"/>
        </w:rPr>
        <w:t xml:space="preserve">Препарати, </w:t>
      </w:r>
      <w:r w:rsidRPr="0088636D">
        <w:rPr>
          <w:rFonts w:ascii="Times New Roman" w:eastAsia="Times New Roman" w:hAnsi="Times New Roman" w:cs="Times New Roman"/>
          <w:bCs/>
          <w:sz w:val="24"/>
          <w:szCs w:val="24"/>
          <w:shd w:val="clear" w:color="auto" w:fill="FFFFFF"/>
          <w:lang w:val="uk-UA" w:eastAsia="ar-SA"/>
        </w:rPr>
        <w:t>які</w:t>
      </w:r>
      <w:r w:rsidRPr="0088636D">
        <w:rPr>
          <w:rFonts w:ascii="Times New Roman" w:eastAsia="Times New Roman" w:hAnsi="Times New Roman" w:cs="Times New Roman"/>
          <w:bCs/>
          <w:sz w:val="24"/>
          <w:szCs w:val="24"/>
          <w:shd w:val="clear" w:color="auto" w:fill="FFFFFF"/>
          <w:lang w:eastAsia="ar-SA"/>
        </w:rPr>
        <w:t xml:space="preserve"> включені до </w:t>
      </w:r>
      <w:r w:rsidRPr="0088636D">
        <w:rPr>
          <w:rFonts w:ascii="Times New Roman" w:eastAsia="Times New Roman" w:hAnsi="Times New Roman" w:cs="Times New Roman"/>
          <w:bCs/>
          <w:sz w:val="24"/>
          <w:szCs w:val="24"/>
          <w:shd w:val="clear" w:color="auto" w:fill="FFFFFF"/>
          <w:lang w:val="uk-UA" w:eastAsia="ar-SA"/>
        </w:rPr>
        <w:t>п</w:t>
      </w:r>
      <w:r w:rsidRPr="0088636D">
        <w:rPr>
          <w:rFonts w:ascii="Times New Roman" w:eastAsia="Times New Roman" w:hAnsi="Times New Roman" w:cs="Times New Roman"/>
          <w:bCs/>
          <w:sz w:val="24"/>
          <w:szCs w:val="24"/>
          <w:shd w:val="clear" w:color="auto" w:fill="FFFFFF"/>
          <w:lang w:eastAsia="ar-SA"/>
        </w:rPr>
        <w:t xml:space="preserve">рограми </w:t>
      </w:r>
      <w:r w:rsidRPr="0088636D">
        <w:rPr>
          <w:rFonts w:ascii="Times New Roman" w:eastAsia="Times New Roman" w:hAnsi="Times New Roman" w:cs="Times New Roman"/>
          <w:bCs/>
          <w:sz w:val="24"/>
          <w:szCs w:val="24"/>
          <w:lang w:val="uk-UA" w:eastAsia="ru-RU"/>
        </w:rPr>
        <w:t>«</w:t>
      </w:r>
      <w:r w:rsidRPr="0088636D">
        <w:rPr>
          <w:rFonts w:ascii="Times New Roman" w:eastAsia="Times New Roman" w:hAnsi="Times New Roman" w:cs="Times New Roman"/>
          <w:bCs/>
          <w:sz w:val="24"/>
          <w:szCs w:val="24"/>
          <w:lang w:eastAsia="ru-RU"/>
        </w:rPr>
        <w:t>З</w:t>
      </w:r>
      <w:r w:rsidRPr="0088636D">
        <w:rPr>
          <w:rFonts w:ascii="Times New Roman" w:eastAsia="Times New Roman" w:hAnsi="Times New Roman" w:cs="Times New Roman"/>
          <w:bCs/>
          <w:sz w:val="24"/>
          <w:szCs w:val="24"/>
          <w:lang w:val="uk-UA" w:eastAsia="ru-RU"/>
        </w:rPr>
        <w:t xml:space="preserve"> турботую про сіввітчизника»</w:t>
      </w:r>
      <w:r w:rsidRPr="0088636D">
        <w:rPr>
          <w:rFonts w:ascii="Times New Roman" w:eastAsia="Times New Roman" w:hAnsi="Times New Roman" w:cs="Times New Roman"/>
          <w:b/>
          <w:sz w:val="24"/>
          <w:szCs w:val="24"/>
          <w:lang w:val="uk-UA" w:eastAsia="ru-RU"/>
        </w:rPr>
        <w:t xml:space="preserve"> </w:t>
      </w:r>
      <w:r w:rsidRPr="0088636D">
        <w:rPr>
          <w:rFonts w:ascii="Times New Roman" w:eastAsia="Times New Roman" w:hAnsi="Times New Roman" w:cs="Times New Roman"/>
          <w:bCs/>
          <w:sz w:val="24"/>
          <w:szCs w:val="24"/>
          <w:shd w:val="clear" w:color="auto" w:fill="FFFFFF"/>
          <w:lang w:val="uk-UA" w:eastAsia="ar-SA"/>
        </w:rPr>
        <w:t>та їх наявність в регулюючих переліках (слайд)</w:t>
      </w:r>
    </w:p>
    <w:p w:rsidR="0088636D" w:rsidRPr="0088636D" w:rsidRDefault="0088636D" w:rsidP="0088636D">
      <w:pPr>
        <w:suppressAutoHyphens/>
        <w:spacing w:after="0" w:line="240" w:lineRule="auto"/>
        <w:ind w:firstLine="851"/>
        <w:jc w:val="right"/>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p>
    <w:tbl>
      <w:tblPr>
        <w:tblW w:w="0" w:type="auto"/>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2"/>
        <w:gridCol w:w="2690"/>
        <w:gridCol w:w="1895"/>
        <w:gridCol w:w="1985"/>
        <w:gridCol w:w="1417"/>
        <w:gridCol w:w="1276"/>
      </w:tblGrid>
      <w:tr w:rsidR="0088636D" w:rsidRPr="0088636D" w:rsidTr="00956B42">
        <w:trPr>
          <w:trHeight w:val="503"/>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Назва та опис продукції</w:t>
            </w:r>
          </w:p>
        </w:tc>
        <w:tc>
          <w:tcPr>
            <w:tcW w:w="1895"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Національний перелік</w:t>
            </w:r>
          </w:p>
        </w:tc>
        <w:tc>
          <w:tcPr>
            <w:tcW w:w="1985"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Держаний формуляр</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Ціна роздр.</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color w:val="000000"/>
                <w:sz w:val="24"/>
                <w:szCs w:val="24"/>
                <w:lang w:val="uk-UA" w:eastAsia="ar-SA"/>
              </w:rPr>
              <w:t>Ціна програм</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Диокор 160 табл.160мг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104,13</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104,13</w:t>
            </w:r>
          </w:p>
        </w:tc>
      </w:tr>
      <w:tr w:rsidR="0088636D" w:rsidRPr="0088636D" w:rsidTr="00956B42">
        <w:trPr>
          <w:trHeight w:val="524"/>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Диокор 80 табл.80мг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215,55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215,55</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3</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Диокор Соло 160 табл.п/о 160мг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95,30</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95,30</w:t>
            </w:r>
          </w:p>
        </w:tc>
      </w:tr>
      <w:tr w:rsidR="0088636D" w:rsidRPr="0088636D" w:rsidTr="00956B42">
        <w:trPr>
          <w:trHeight w:val="524"/>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Диокор Соло 80 табл.п/п/о 80мг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71,50</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71,50</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5</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Дифорс 160 табл.в/о 5мг/160мг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118,75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118,75</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6</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Дифорс 80 табл.в/о 5мг/80мг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95,85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95,85</w:t>
            </w:r>
          </w:p>
        </w:tc>
      </w:tr>
      <w:tr w:rsidR="0088636D" w:rsidRPr="0088636D" w:rsidTr="00956B42">
        <w:trPr>
          <w:trHeight w:val="524"/>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7</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Дифорс XL табл.п/п/о 10мг/160мг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125,20</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125,20</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8</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Кливас 10 табл.п/о 10мг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77,75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77,75</w:t>
            </w:r>
          </w:p>
        </w:tc>
      </w:tr>
      <w:tr w:rsidR="0088636D" w:rsidRPr="0088636D" w:rsidTr="00956B42">
        <w:trPr>
          <w:trHeight w:val="524"/>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9.</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Кливас 20 табл.п/о 20мг №30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130,95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130,95</w:t>
            </w:r>
          </w:p>
        </w:tc>
      </w:tr>
      <w:tr w:rsidR="0088636D" w:rsidRPr="0088636D" w:rsidTr="00956B42">
        <w:trPr>
          <w:trHeight w:val="546"/>
          <w:jc w:val="center"/>
        </w:trPr>
        <w:tc>
          <w:tcPr>
            <w:tcW w:w="52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10</w:t>
            </w:r>
          </w:p>
        </w:tc>
        <w:tc>
          <w:tcPr>
            <w:tcW w:w="26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Тридуктан МВ табл.п/о 35мг №60</w:t>
            </w:r>
          </w:p>
        </w:tc>
        <w:tc>
          <w:tcPr>
            <w:tcW w:w="189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985"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7"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128,25</w:t>
            </w:r>
          </w:p>
        </w:tc>
        <w:tc>
          <w:tcPr>
            <w:tcW w:w="12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128,25</w:t>
            </w:r>
          </w:p>
        </w:tc>
      </w:tr>
    </w:tbl>
    <w:p w:rsidR="0088636D" w:rsidRPr="0088636D" w:rsidRDefault="0088636D" w:rsidP="0088636D">
      <w:pPr>
        <w:spacing w:after="0" w:line="240" w:lineRule="auto"/>
        <w:contextualSpacing/>
        <w:jc w:val="both"/>
        <w:rPr>
          <w:rFonts w:ascii="Times New Roman" w:eastAsia="Times New Roman" w:hAnsi="Times New Roman" w:cs="Times New Roman"/>
          <w:sz w:val="24"/>
          <w:szCs w:val="24"/>
          <w:lang w:val="uk-UA" w:eastAsia="ru-RU"/>
        </w:rPr>
      </w:pPr>
      <w:r w:rsidRPr="0088636D">
        <w:rPr>
          <w:rFonts w:ascii="Times New Roman" w:eastAsia="Times New Roman" w:hAnsi="Times New Roman" w:cs="Times New Roman"/>
          <w:sz w:val="24"/>
          <w:szCs w:val="24"/>
          <w:lang w:val="uk-UA" w:eastAsia="ru-RU"/>
        </w:rPr>
        <w:t>Отже, всі препарати входять в Національний перелік ОЛЗ та Державний формуляр.</w:t>
      </w:r>
    </w:p>
    <w:p w:rsidR="0088636D" w:rsidRPr="0088636D" w:rsidRDefault="0088636D" w:rsidP="008512F9">
      <w:pPr>
        <w:numPr>
          <w:ilvl w:val="0"/>
          <w:numId w:val="12"/>
        </w:numPr>
        <w:shd w:val="clear" w:color="auto" w:fill="FFFFFF"/>
        <w:suppressAutoHyphens/>
        <w:spacing w:after="0" w:line="240" w:lineRule="auto"/>
        <w:ind w:left="-142"/>
        <w:jc w:val="both"/>
        <w:outlineLvl w:val="1"/>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
          <w:sz w:val="24"/>
          <w:szCs w:val="24"/>
          <w:lang w:val="uk-UA" w:eastAsia="ar-SA"/>
        </w:rPr>
        <w:t>МедіКард</w:t>
      </w:r>
      <w:r w:rsidRPr="0088636D">
        <w:rPr>
          <w:rFonts w:ascii="Times New Roman" w:eastAsia="Times New Roman" w:hAnsi="Times New Roman" w:cs="Times New Roman"/>
          <w:sz w:val="24"/>
          <w:szCs w:val="24"/>
          <w:lang w:val="uk-UA" w:eastAsia="ar-SA"/>
        </w:rPr>
        <w:t xml:space="preserve"> - це соціальна програма, спрямована на збільшення доступу до сучасних, ефективних препаратів - хондропротекторів, що містить комбінацію глюкозаміну сульфату і хондроїтину сульфату, препарати, для швидкого знеболення суглобів і продовження прийому хондропротекторів і містить комбінацію калію диклофенаку, глюкозаміну сульфату і хондроїтину сульфату за більш доступною ціною. </w:t>
      </w:r>
      <w:r w:rsidRPr="0088636D">
        <w:rPr>
          <w:rFonts w:ascii="Times New Roman" w:eastAsia="Times New Roman" w:hAnsi="Times New Roman" w:cs="Times New Roman"/>
          <w:bCs/>
          <w:sz w:val="24"/>
          <w:szCs w:val="24"/>
          <w:shd w:val="clear" w:color="auto" w:fill="FFFFFF"/>
          <w:lang w:eastAsia="ar-SA"/>
        </w:rPr>
        <w:t xml:space="preserve">Препарати, </w:t>
      </w:r>
      <w:r w:rsidRPr="0088636D">
        <w:rPr>
          <w:rFonts w:ascii="Times New Roman" w:eastAsia="Times New Roman" w:hAnsi="Times New Roman" w:cs="Times New Roman"/>
          <w:bCs/>
          <w:sz w:val="24"/>
          <w:szCs w:val="24"/>
          <w:shd w:val="clear" w:color="auto" w:fill="FFFFFF"/>
          <w:lang w:val="uk-UA" w:eastAsia="ar-SA"/>
        </w:rPr>
        <w:t>які</w:t>
      </w:r>
      <w:r w:rsidRPr="0088636D">
        <w:rPr>
          <w:rFonts w:ascii="Times New Roman" w:eastAsia="Times New Roman" w:hAnsi="Times New Roman" w:cs="Times New Roman"/>
          <w:bCs/>
          <w:sz w:val="24"/>
          <w:szCs w:val="24"/>
          <w:shd w:val="clear" w:color="auto" w:fill="FFFFFF"/>
          <w:lang w:eastAsia="ar-SA"/>
        </w:rPr>
        <w:t xml:space="preserve"> включені до </w:t>
      </w:r>
      <w:r w:rsidRPr="0088636D">
        <w:rPr>
          <w:rFonts w:ascii="Times New Roman" w:eastAsia="Times New Roman" w:hAnsi="Times New Roman" w:cs="Times New Roman"/>
          <w:bCs/>
          <w:sz w:val="24"/>
          <w:szCs w:val="24"/>
          <w:shd w:val="clear" w:color="auto" w:fill="FFFFFF"/>
          <w:lang w:val="uk-UA" w:eastAsia="ar-SA"/>
        </w:rPr>
        <w:t>п</w:t>
      </w:r>
      <w:r w:rsidRPr="0088636D">
        <w:rPr>
          <w:rFonts w:ascii="Times New Roman" w:eastAsia="Times New Roman" w:hAnsi="Times New Roman" w:cs="Times New Roman"/>
          <w:bCs/>
          <w:sz w:val="24"/>
          <w:szCs w:val="24"/>
          <w:shd w:val="clear" w:color="auto" w:fill="FFFFFF"/>
          <w:lang w:eastAsia="ar-SA"/>
        </w:rPr>
        <w:t xml:space="preserve">рограми </w:t>
      </w:r>
      <w:r w:rsidRPr="0088636D">
        <w:rPr>
          <w:rFonts w:ascii="Times New Roman" w:eastAsia="Times New Roman" w:hAnsi="Times New Roman" w:cs="Times New Roman"/>
          <w:bCs/>
          <w:sz w:val="24"/>
          <w:szCs w:val="24"/>
          <w:lang w:val="uk-UA" w:eastAsia="ru-RU"/>
        </w:rPr>
        <w:t>«МедіКард»</w:t>
      </w: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bCs/>
          <w:sz w:val="24"/>
          <w:szCs w:val="24"/>
          <w:shd w:val="clear" w:color="auto" w:fill="FFFFFF"/>
          <w:lang w:val="uk-UA" w:eastAsia="ar-SA"/>
        </w:rPr>
        <w:t>та їх наявність в регулюючих переліках</w:t>
      </w:r>
      <w:r w:rsidRPr="0088636D">
        <w:rPr>
          <w:rFonts w:ascii="Times New Roman" w:eastAsia="Times New Roman" w:hAnsi="Times New Roman" w:cs="Times New Roman"/>
          <w:sz w:val="24"/>
          <w:szCs w:val="24"/>
          <w:lang w:val="uk-UA" w:eastAsia="ar-SA"/>
        </w:rPr>
        <w:t xml:space="preserve"> (слайд)</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2976"/>
        <w:gridCol w:w="1843"/>
        <w:gridCol w:w="1559"/>
        <w:gridCol w:w="1418"/>
        <w:gridCol w:w="1701"/>
      </w:tblGrid>
      <w:tr w:rsidR="0088636D" w:rsidRPr="0088636D" w:rsidTr="00956B42">
        <w:trPr>
          <w:trHeight w:val="479"/>
        </w:trPr>
        <w:tc>
          <w:tcPr>
            <w:tcW w:w="852"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Назва та опис продукції</w:t>
            </w:r>
          </w:p>
        </w:tc>
        <w:tc>
          <w:tcPr>
            <w:tcW w:w="1843"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Національний перелік</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Державний формуляр</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Ціна роздр</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color w:val="000000"/>
                <w:sz w:val="24"/>
                <w:szCs w:val="24"/>
                <w:lang w:val="uk-UA" w:eastAsia="ar-SA"/>
              </w:rPr>
              <w:t>Ціна програм.</w:t>
            </w:r>
          </w:p>
        </w:tc>
      </w:tr>
      <w:tr w:rsidR="0088636D" w:rsidRPr="0088636D" w:rsidTr="00956B42">
        <w:trPr>
          <w:trHeight w:val="479"/>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w:t>
            </w:r>
          </w:p>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lang w:val="uk-UA" w:eastAsia="ar-SA"/>
              </w:rPr>
            </w:pP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Мовекс Актив табл.п/о №60</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392,65</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314,12</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Мовекс Комфорт табл.п/о №60</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300,00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240,00</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Аторис табл10 мг..№30</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156,65</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125,35</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4</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Аторис  табл 20 мг..№30</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225,65</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180,52</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Пиаскледин300 мг.№15</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352,10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281,61</w:t>
            </w:r>
          </w:p>
          <w:p w:rsidR="0088636D" w:rsidRPr="0088636D" w:rsidRDefault="0088636D" w:rsidP="0088636D">
            <w:pPr>
              <w:suppressAutoHyphens/>
              <w:spacing w:after="0" w:line="240" w:lineRule="auto"/>
              <w:jc w:val="center"/>
              <w:rPr>
                <w:rFonts w:ascii="Times New Roman" w:eastAsia="Times New Roman" w:hAnsi="Times New Roman" w:cs="Times New Roman"/>
                <w:sz w:val="24"/>
                <w:szCs w:val="24"/>
                <w:lang w:val="uk-UA" w:eastAsia="ar-SA"/>
              </w:rPr>
            </w:pP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6</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Глиатилин 400 мг. №14</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703,40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562,72</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Коплавикс 75 мг№28</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741,20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592,96</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left="318" w:right="223"/>
              <w:jc w:val="center"/>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8</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Ксарелто 15 мг.№42</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989,20</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791,36</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right="223"/>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lastRenderedPageBreak/>
              <w:t>9</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Ксарелто 20 мг. №28</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color w:val="161616"/>
                <w:sz w:val="24"/>
                <w:szCs w:val="24"/>
                <w:shd w:val="clear" w:color="auto" w:fill="FFFFFF"/>
                <w:lang w:eastAsia="ar-SA"/>
              </w:rPr>
              <w:t>1618.55 </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1294,84</w:t>
            </w:r>
          </w:p>
        </w:tc>
      </w:tr>
      <w:tr w:rsidR="0088636D" w:rsidRPr="0088636D" w:rsidTr="00956B42">
        <w:trPr>
          <w:trHeight w:val="500"/>
        </w:trPr>
        <w:tc>
          <w:tcPr>
            <w:tcW w:w="852" w:type="dxa"/>
          </w:tcPr>
          <w:p w:rsidR="0088636D" w:rsidRPr="0088636D" w:rsidRDefault="0088636D" w:rsidP="0088636D">
            <w:pPr>
              <w:tabs>
                <w:tab w:val="left" w:pos="176"/>
              </w:tabs>
              <w:suppressAutoHyphens/>
              <w:spacing w:after="0" w:line="240" w:lineRule="auto"/>
              <w:ind w:right="223"/>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10</w:t>
            </w:r>
          </w:p>
        </w:tc>
        <w:tc>
          <w:tcPr>
            <w:tcW w:w="2976"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eastAsia="ar-SA"/>
              </w:rPr>
            </w:pPr>
            <w:r w:rsidRPr="0088636D">
              <w:rPr>
                <w:rFonts w:ascii="Times New Roman" w:eastAsia="Times New Roman" w:hAnsi="Times New Roman" w:cs="Times New Roman"/>
                <w:sz w:val="24"/>
                <w:szCs w:val="24"/>
                <w:shd w:val="clear" w:color="auto" w:fill="FFFFFF"/>
                <w:lang w:eastAsia="ar-SA"/>
              </w:rPr>
              <w:t>Прадакса</w:t>
            </w:r>
            <w:r w:rsidRPr="0088636D">
              <w:rPr>
                <w:rFonts w:ascii="Times New Roman" w:eastAsia="Times New Roman" w:hAnsi="Times New Roman" w:cs="Times New Roman"/>
                <w:sz w:val="24"/>
                <w:szCs w:val="24"/>
                <w:shd w:val="clear" w:color="auto" w:fill="FFFFFF"/>
                <w:lang w:val="uk-UA" w:eastAsia="ar-SA"/>
              </w:rPr>
              <w:t xml:space="preserve"> </w:t>
            </w:r>
            <w:r w:rsidRPr="0088636D">
              <w:rPr>
                <w:rFonts w:ascii="Times New Roman" w:eastAsia="Times New Roman" w:hAnsi="Times New Roman" w:cs="Times New Roman"/>
                <w:sz w:val="24"/>
                <w:szCs w:val="24"/>
                <w:shd w:val="clear" w:color="auto" w:fill="FFFFFF"/>
                <w:lang w:eastAsia="ar-SA"/>
              </w:rPr>
              <w:t>110 мг.№30</w:t>
            </w:r>
          </w:p>
        </w:tc>
        <w:tc>
          <w:tcPr>
            <w:tcW w:w="1843"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59" w:type="dxa"/>
          </w:tcPr>
          <w:p w:rsidR="0088636D" w:rsidRPr="0088636D" w:rsidRDefault="0088636D" w:rsidP="0088636D">
            <w:pPr>
              <w:suppressAutoHyphens/>
              <w:spacing w:after="0" w:line="240" w:lineRule="auto"/>
              <w:ind w:firstLine="851"/>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418"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1082,65</w:t>
            </w:r>
          </w:p>
        </w:tc>
        <w:tc>
          <w:tcPr>
            <w:tcW w:w="1701"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865,88</w:t>
            </w:r>
          </w:p>
        </w:tc>
      </w:tr>
    </w:tbl>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Отже, всі лікарськи засоби входять в Національний перелік основних ЛЗ  та державний формуляр.</w:t>
      </w:r>
    </w:p>
    <w:p w:rsidR="0088636D" w:rsidRPr="0088636D" w:rsidRDefault="0088636D" w:rsidP="008512F9">
      <w:pPr>
        <w:numPr>
          <w:ilvl w:val="0"/>
          <w:numId w:val="12"/>
        </w:numPr>
        <w:shd w:val="clear" w:color="auto" w:fill="FFFFFF"/>
        <w:suppressAutoHyphens/>
        <w:spacing w:after="0" w:line="240" w:lineRule="auto"/>
        <w:ind w:left="-426" w:firstLine="851"/>
        <w:jc w:val="both"/>
        <w:outlineLvl w:val="1"/>
        <w:rPr>
          <w:rFonts w:ascii="Times New Roman" w:eastAsia="Times New Roman" w:hAnsi="Times New Roman" w:cs="Times New Roman"/>
          <w:bCs/>
          <w:sz w:val="24"/>
          <w:szCs w:val="24"/>
          <w:shd w:val="clear" w:color="auto" w:fill="FFFFFF"/>
          <w:lang w:val="uk-UA" w:eastAsia="ar-SA"/>
        </w:rPr>
      </w:pPr>
      <w:r w:rsidRPr="0088636D">
        <w:rPr>
          <w:rFonts w:ascii="Times New Roman" w:eastAsia="Times New Roman" w:hAnsi="Times New Roman" w:cs="Times New Roman"/>
          <w:b/>
          <w:bCs/>
          <w:sz w:val="24"/>
          <w:szCs w:val="24"/>
          <w:lang w:val="uk-UA" w:eastAsia="ar-SA"/>
        </w:rPr>
        <w:t>Разом Абборт кард</w:t>
      </w:r>
      <w:r w:rsidRPr="0088636D">
        <w:rPr>
          <w:rFonts w:ascii="Times New Roman" w:eastAsia="Times New Roman" w:hAnsi="Times New Roman" w:cs="Times New Roman"/>
          <w:b/>
          <w:sz w:val="24"/>
          <w:szCs w:val="24"/>
          <w:lang w:val="uk-UA" w:eastAsia="ar-SA"/>
        </w:rPr>
        <w:t xml:space="preserve"> - програма</w:t>
      </w:r>
      <w:r w:rsidRPr="0088636D">
        <w:rPr>
          <w:rFonts w:ascii="Times New Roman" w:eastAsia="Times New Roman" w:hAnsi="Times New Roman" w:cs="Times New Roman"/>
          <w:sz w:val="24"/>
          <w:szCs w:val="24"/>
          <w:lang w:val="uk-UA" w:eastAsia="ar-SA"/>
        </w:rPr>
        <w:t xml:space="preserve"> націлена на підтримку пацієнтів з хронічними захворюваннями шлунково-кишкового тракту.</w:t>
      </w:r>
      <w:r w:rsidRPr="0088636D">
        <w:rPr>
          <w:rFonts w:ascii="Times New Roman" w:eastAsia="Times New Roman" w:hAnsi="Times New Roman" w:cs="Times New Roman"/>
          <w:bCs/>
          <w:sz w:val="24"/>
          <w:szCs w:val="24"/>
          <w:shd w:val="clear" w:color="auto" w:fill="FFFFFF"/>
          <w:lang w:val="uk-UA" w:eastAsia="ar-SA"/>
        </w:rPr>
        <w:t xml:space="preserve">Препарати, які включені до програми </w:t>
      </w:r>
      <w:r w:rsidRPr="0088636D">
        <w:rPr>
          <w:rFonts w:ascii="Times New Roman" w:eastAsia="Times New Roman" w:hAnsi="Times New Roman" w:cs="Times New Roman"/>
          <w:bCs/>
          <w:sz w:val="24"/>
          <w:szCs w:val="24"/>
          <w:lang w:val="uk-UA" w:eastAsia="ru-RU"/>
        </w:rPr>
        <w:t>«</w:t>
      </w:r>
      <w:r w:rsidRPr="0088636D">
        <w:rPr>
          <w:rFonts w:ascii="Times New Roman" w:eastAsia="Times New Roman" w:hAnsi="Times New Roman" w:cs="Times New Roman"/>
          <w:sz w:val="24"/>
          <w:szCs w:val="24"/>
          <w:lang w:val="uk-UA" w:eastAsia="ar-SA"/>
        </w:rPr>
        <w:t>Абботт КАРТ</w:t>
      </w:r>
      <w:r w:rsidRPr="0088636D">
        <w:rPr>
          <w:rFonts w:ascii="Times New Roman" w:eastAsia="Times New Roman" w:hAnsi="Times New Roman" w:cs="Times New Roman"/>
          <w:bCs/>
          <w:sz w:val="24"/>
          <w:szCs w:val="24"/>
          <w:lang w:val="uk-UA" w:eastAsia="ru-RU"/>
        </w:rPr>
        <w:t>»</w:t>
      </w:r>
      <w:r w:rsidRPr="0088636D">
        <w:rPr>
          <w:rFonts w:ascii="Times New Roman" w:eastAsia="Times New Roman" w:hAnsi="Times New Roman" w:cs="Times New Roman"/>
          <w:bCs/>
          <w:sz w:val="24"/>
          <w:szCs w:val="24"/>
          <w:shd w:val="clear" w:color="auto" w:fill="FFFFFF"/>
          <w:lang w:val="uk-UA" w:eastAsia="ar-SA"/>
        </w:rPr>
        <w:t>та їх наявність в регулюючих переліках (слайд)</w:t>
      </w:r>
    </w:p>
    <w:p w:rsidR="0088636D" w:rsidRPr="0088636D" w:rsidRDefault="0088636D" w:rsidP="0088636D">
      <w:pPr>
        <w:suppressAutoHyphens/>
        <w:spacing w:after="0" w:line="240" w:lineRule="auto"/>
        <w:ind w:firstLine="851"/>
        <w:jc w:val="right"/>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bCs/>
          <w:sz w:val="24"/>
          <w:szCs w:val="24"/>
          <w:shd w:val="clear" w:color="auto" w:fill="FFFFFF"/>
          <w:lang w:val="uk-UA" w:eastAsia="ar-SA"/>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4"/>
        <w:gridCol w:w="3290"/>
        <w:gridCol w:w="1843"/>
        <w:gridCol w:w="1275"/>
        <w:gridCol w:w="1560"/>
        <w:gridCol w:w="1559"/>
      </w:tblGrid>
      <w:tr w:rsidR="0088636D" w:rsidRPr="0088636D" w:rsidTr="00956B42">
        <w:trPr>
          <w:trHeight w:val="528"/>
        </w:trPr>
        <w:tc>
          <w:tcPr>
            <w:tcW w:w="504"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w:t>
            </w:r>
          </w:p>
        </w:tc>
        <w:tc>
          <w:tcPr>
            <w:tcW w:w="32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Назва та опис продукції</w:t>
            </w:r>
          </w:p>
        </w:tc>
        <w:tc>
          <w:tcPr>
            <w:tcW w:w="1843"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Національний перелік</w:t>
            </w:r>
          </w:p>
        </w:tc>
        <w:tc>
          <w:tcPr>
            <w:tcW w:w="1275"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Державний формуляр</w:t>
            </w:r>
          </w:p>
        </w:tc>
        <w:tc>
          <w:tcPr>
            <w:tcW w:w="156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Ціна роздр.</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color w:val="000000"/>
                <w:sz w:val="24"/>
                <w:szCs w:val="24"/>
                <w:lang w:val="uk-UA" w:eastAsia="ar-SA"/>
              </w:rPr>
              <w:t>Ціна програм</w:t>
            </w:r>
          </w:p>
        </w:tc>
      </w:tr>
      <w:tr w:rsidR="0088636D" w:rsidRPr="0088636D" w:rsidTr="00956B42">
        <w:trPr>
          <w:trHeight w:val="528"/>
        </w:trPr>
        <w:tc>
          <w:tcPr>
            <w:tcW w:w="504"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w:t>
            </w:r>
          </w:p>
        </w:tc>
        <w:tc>
          <w:tcPr>
            <w:tcW w:w="32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Гептрал табл.п/плен обол.500мг №20</w:t>
            </w:r>
          </w:p>
        </w:tc>
        <w:tc>
          <w:tcPr>
            <w:tcW w:w="1843"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275"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6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1100,00</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880,00</w:t>
            </w:r>
          </w:p>
        </w:tc>
      </w:tr>
      <w:tr w:rsidR="0088636D" w:rsidRPr="0088636D" w:rsidTr="00956B42">
        <w:trPr>
          <w:trHeight w:val="528"/>
        </w:trPr>
        <w:tc>
          <w:tcPr>
            <w:tcW w:w="504"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2.</w:t>
            </w:r>
          </w:p>
        </w:tc>
        <w:tc>
          <w:tcPr>
            <w:tcW w:w="329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shd w:val="clear" w:color="auto" w:fill="FFFFFF"/>
                <w:lang w:eastAsia="ar-SA"/>
              </w:rPr>
              <w:t>Гептрал пор.д/п р-р амп.500мг/5мл №5</w:t>
            </w:r>
          </w:p>
        </w:tc>
        <w:tc>
          <w:tcPr>
            <w:tcW w:w="1843"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275"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w:t>
            </w:r>
          </w:p>
        </w:tc>
        <w:tc>
          <w:tcPr>
            <w:tcW w:w="1560"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1080,00</w:t>
            </w:r>
          </w:p>
        </w:tc>
        <w:tc>
          <w:tcPr>
            <w:tcW w:w="1559" w:type="dxa"/>
          </w:tcPr>
          <w:p w:rsidR="0088636D" w:rsidRPr="0088636D" w:rsidRDefault="0088636D" w:rsidP="0088636D">
            <w:pPr>
              <w:suppressAutoHyphens/>
              <w:spacing w:after="0" w:line="240" w:lineRule="auto"/>
              <w:jc w:val="both"/>
              <w:rPr>
                <w:rFonts w:ascii="Times New Roman" w:eastAsia="Times New Roman" w:hAnsi="Times New Roman" w:cs="Times New Roman"/>
                <w:sz w:val="24"/>
                <w:szCs w:val="24"/>
                <w:shd w:val="clear" w:color="auto" w:fill="FFFFFF"/>
                <w:lang w:val="uk-UA" w:eastAsia="ar-SA"/>
              </w:rPr>
            </w:pPr>
            <w:r w:rsidRPr="0088636D">
              <w:rPr>
                <w:rFonts w:ascii="Times New Roman" w:eastAsia="Times New Roman" w:hAnsi="Times New Roman" w:cs="Times New Roman"/>
                <w:sz w:val="24"/>
                <w:szCs w:val="24"/>
                <w:shd w:val="clear" w:color="auto" w:fill="FFFFFF"/>
                <w:lang w:val="uk-UA" w:eastAsia="ar-SA"/>
              </w:rPr>
              <w:t>864,00</w:t>
            </w:r>
          </w:p>
        </w:tc>
      </w:tr>
    </w:tbl>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Отже, всі лікарські засоби входять в Національний перелік та Державний формуляр Відпуск препаратів за рецептом лікаря.</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Таким чином, всі ЛЗ, які задіяні в соціальних програмах, включені до основних «регулюючих переліків» ЛЗ.</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bCs/>
          <w:iCs/>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b/>
          <w:bCs/>
          <w:iCs/>
          <w:sz w:val="24"/>
          <w:szCs w:val="24"/>
          <w:lang w:val="uk-UA" w:eastAsia="ar-SA"/>
        </w:rPr>
      </w:pPr>
      <w:r w:rsidRPr="0088636D">
        <w:rPr>
          <w:rFonts w:ascii="Times New Roman" w:eastAsia="Times New Roman" w:hAnsi="Times New Roman" w:cs="Times New Roman"/>
          <w:b/>
          <w:bCs/>
          <w:iCs/>
          <w:sz w:val="24"/>
          <w:szCs w:val="24"/>
          <w:lang w:val="uk-UA" w:eastAsia="ar-SA"/>
        </w:rPr>
        <w:t xml:space="preserve">Матеріали щодо активації здобувачів вищої освіти під час проведення лекції: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1. Поясніть термін «проект»:</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а) засіб керування діяльністю, що являє собою опис конкретної ситуації, яка повинна бути покращена та конкретних методів і кроків щодо її реалізації;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b</w:t>
      </w:r>
      <w:r w:rsidRPr="0088636D">
        <w:rPr>
          <w:rFonts w:ascii="Times New Roman" w:eastAsia="Times New Roman" w:hAnsi="Times New Roman" w:cs="Times New Roman"/>
          <w:sz w:val="24"/>
          <w:szCs w:val="24"/>
          <w:lang w:val="uk-UA" w:eastAsia="ar-SA"/>
        </w:rPr>
        <w:t xml:space="preserve">) план довгострокових фінансових вкладень; </w:t>
      </w:r>
    </w:p>
    <w:p w:rsidR="0088636D" w:rsidRPr="0088636D" w:rsidRDefault="0088636D" w:rsidP="0088636D">
      <w:pPr>
        <w:suppressAutoHyphens/>
        <w:spacing w:after="0" w:line="240" w:lineRule="auto"/>
        <w:ind w:left="708"/>
        <w:jc w:val="both"/>
        <w:rPr>
          <w:rFonts w:ascii="Times New Roman" w:eastAsia="Times New Roman" w:hAnsi="Times New Roman" w:cs="Times New Roman"/>
          <w:b/>
          <w:bCs/>
          <w:iCs/>
          <w:sz w:val="24"/>
          <w:szCs w:val="24"/>
          <w:lang w:val="uk-UA" w:eastAsia="ar-SA"/>
        </w:rPr>
      </w:pPr>
      <w:r w:rsidRPr="0088636D">
        <w:rPr>
          <w:rFonts w:ascii="Times New Roman" w:eastAsia="Times New Roman" w:hAnsi="Times New Roman" w:cs="Times New Roman"/>
          <w:sz w:val="24"/>
          <w:szCs w:val="24"/>
          <w:lang w:eastAsia="ar-SA"/>
        </w:rPr>
        <w:t>c</w:t>
      </w:r>
      <w:r w:rsidRPr="0088636D">
        <w:rPr>
          <w:rFonts w:ascii="Times New Roman" w:eastAsia="Times New Roman" w:hAnsi="Times New Roman" w:cs="Times New Roman"/>
          <w:sz w:val="24"/>
          <w:szCs w:val="24"/>
          <w:lang w:val="uk-UA" w:eastAsia="ar-SA"/>
        </w:rPr>
        <w:t>) стратегічне планування.</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2. Що не належить до принципів соціальної відповідальності, які діють згідно із Міжнародним стандартом 26 «Керівництво із соціальної відповідальності»: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a</w:t>
      </w:r>
      <w:r w:rsidRPr="0088636D">
        <w:rPr>
          <w:rFonts w:ascii="Times New Roman" w:eastAsia="Times New Roman" w:hAnsi="Times New Roman" w:cs="Times New Roman"/>
          <w:sz w:val="24"/>
          <w:szCs w:val="24"/>
          <w:lang w:val="uk-UA" w:eastAsia="ar-SA"/>
        </w:rPr>
        <w:t xml:space="preserve">) підзвітність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b</w:t>
      </w:r>
      <w:r w:rsidRPr="0088636D">
        <w:rPr>
          <w:rFonts w:ascii="Times New Roman" w:eastAsia="Times New Roman" w:hAnsi="Times New Roman" w:cs="Times New Roman"/>
          <w:sz w:val="24"/>
          <w:szCs w:val="24"/>
          <w:lang w:val="uk-UA" w:eastAsia="ar-SA"/>
        </w:rPr>
        <w:t xml:space="preserve">) свобода дій;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c</w:t>
      </w:r>
      <w:r w:rsidRPr="0088636D">
        <w:rPr>
          <w:rFonts w:ascii="Times New Roman" w:eastAsia="Times New Roman" w:hAnsi="Times New Roman" w:cs="Times New Roman"/>
          <w:sz w:val="24"/>
          <w:szCs w:val="24"/>
          <w:lang w:val="uk-UA" w:eastAsia="ar-SA"/>
        </w:rPr>
        <w:t xml:space="preserve">) етична поведінка;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d</w:t>
      </w:r>
      <w:r w:rsidRPr="0088636D">
        <w:rPr>
          <w:rFonts w:ascii="Times New Roman" w:eastAsia="Times New Roman" w:hAnsi="Times New Roman" w:cs="Times New Roman"/>
          <w:sz w:val="24"/>
          <w:szCs w:val="24"/>
          <w:lang w:val="uk-UA" w:eastAsia="ar-SA"/>
        </w:rPr>
        <w:t xml:space="preserve">) повага до інтересів зацікавлених сторін.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3. Що із переліченого не належить до групи соціальних показників ефективності: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a</w:t>
      </w:r>
      <w:r w:rsidRPr="0088636D">
        <w:rPr>
          <w:rFonts w:ascii="Times New Roman" w:eastAsia="Times New Roman" w:hAnsi="Times New Roman" w:cs="Times New Roman"/>
          <w:sz w:val="24"/>
          <w:szCs w:val="24"/>
          <w:lang w:val="uk-UA" w:eastAsia="ar-SA"/>
        </w:rPr>
        <w:t>) питома вага необоротних активів соціальної сфери у необоротних активах підприємства;</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t>b</w:t>
      </w:r>
      <w:r w:rsidRPr="0088636D">
        <w:rPr>
          <w:rFonts w:ascii="Times New Roman" w:eastAsia="Times New Roman" w:hAnsi="Times New Roman" w:cs="Times New Roman"/>
          <w:sz w:val="24"/>
          <w:szCs w:val="24"/>
          <w:lang w:val="uk-UA" w:eastAsia="ar-SA"/>
        </w:rPr>
        <w:t xml:space="preserve">) повнота виконання корпорацією своїх стратегічних та поточних планів;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c</w:t>
      </w:r>
      <w:r w:rsidRPr="0088636D">
        <w:rPr>
          <w:rFonts w:ascii="Times New Roman" w:eastAsia="Times New Roman" w:hAnsi="Times New Roman" w:cs="Times New Roman"/>
          <w:sz w:val="24"/>
          <w:szCs w:val="24"/>
          <w:lang w:val="uk-UA" w:eastAsia="ar-SA"/>
        </w:rPr>
        <w:t xml:space="preserve">) коефіцієнт плинності кадрів; </w:t>
      </w:r>
      <w:r w:rsidRPr="0088636D">
        <w:rPr>
          <w:rFonts w:ascii="Times New Roman" w:eastAsia="Times New Roman" w:hAnsi="Times New Roman" w:cs="Times New Roman"/>
          <w:sz w:val="24"/>
          <w:szCs w:val="24"/>
          <w:lang w:eastAsia="ar-SA"/>
        </w:rPr>
        <w:t>d</w:t>
      </w:r>
      <w:r w:rsidRPr="0088636D">
        <w:rPr>
          <w:rFonts w:ascii="Times New Roman" w:eastAsia="Times New Roman" w:hAnsi="Times New Roman" w:cs="Times New Roman"/>
          <w:sz w:val="24"/>
          <w:szCs w:val="24"/>
          <w:lang w:val="uk-UA" w:eastAsia="ar-SA"/>
        </w:rPr>
        <w:t>) дефіцит робочої сили у підприємстві загалом і за окремими її категоріями</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4. До суб’єктів соціальної відповідальності бізнесу відносять:</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 </w:t>
      </w:r>
      <w:r w:rsidRPr="0088636D">
        <w:rPr>
          <w:rFonts w:ascii="Times New Roman" w:eastAsia="Times New Roman" w:hAnsi="Times New Roman" w:cs="Times New Roman"/>
          <w:sz w:val="24"/>
          <w:szCs w:val="24"/>
          <w:lang w:eastAsia="ar-SA"/>
        </w:rPr>
        <w:t>a</w:t>
      </w:r>
      <w:r w:rsidRPr="0088636D">
        <w:rPr>
          <w:rFonts w:ascii="Times New Roman" w:eastAsia="Times New Roman" w:hAnsi="Times New Roman" w:cs="Times New Roman"/>
          <w:sz w:val="24"/>
          <w:szCs w:val="24"/>
          <w:lang w:val="uk-UA" w:eastAsia="ar-SA"/>
        </w:rPr>
        <w:t xml:space="preserve">) власників підприємства;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b</w:t>
      </w:r>
      <w:r w:rsidRPr="0088636D">
        <w:rPr>
          <w:rFonts w:ascii="Times New Roman" w:eastAsia="Times New Roman" w:hAnsi="Times New Roman" w:cs="Times New Roman"/>
          <w:sz w:val="24"/>
          <w:szCs w:val="24"/>
          <w:lang w:val="uk-UA" w:eastAsia="ar-SA"/>
        </w:rPr>
        <w:t xml:space="preserve">) державні органи влади;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c</w:t>
      </w:r>
      <w:r w:rsidRPr="0088636D">
        <w:rPr>
          <w:rFonts w:ascii="Times New Roman" w:eastAsia="Times New Roman" w:hAnsi="Times New Roman" w:cs="Times New Roman"/>
          <w:sz w:val="24"/>
          <w:szCs w:val="24"/>
          <w:lang w:val="uk-UA" w:eastAsia="ar-SA"/>
        </w:rPr>
        <w:t xml:space="preserve">) громадських організацій; </w:t>
      </w:r>
    </w:p>
    <w:p w:rsidR="0088636D" w:rsidRPr="0088636D" w:rsidRDefault="0088636D" w:rsidP="0088636D">
      <w:pPr>
        <w:suppressAutoHyphens/>
        <w:spacing w:after="0" w:line="240" w:lineRule="auto"/>
        <w:ind w:firstLine="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d</w:t>
      </w:r>
      <w:r w:rsidRPr="0088636D">
        <w:rPr>
          <w:rFonts w:ascii="Times New Roman" w:eastAsia="Times New Roman" w:hAnsi="Times New Roman" w:cs="Times New Roman"/>
          <w:sz w:val="24"/>
          <w:szCs w:val="24"/>
          <w:lang w:val="uk-UA" w:eastAsia="ar-SA"/>
        </w:rPr>
        <w:t>) всі названі вище.</w:t>
      </w: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p>
    <w:p w:rsidR="0088636D" w:rsidRPr="0088636D" w:rsidRDefault="0088636D" w:rsidP="0088636D">
      <w:pPr>
        <w:suppressAutoHyphens/>
        <w:spacing w:after="0" w:line="240" w:lineRule="auto"/>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5. Які моделі соціальної відповідальності відповідають англо-американській моделі обліку?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a</w:t>
      </w:r>
      <w:r w:rsidRPr="0088636D">
        <w:rPr>
          <w:rFonts w:ascii="Times New Roman" w:eastAsia="Times New Roman" w:hAnsi="Times New Roman" w:cs="Times New Roman"/>
          <w:sz w:val="24"/>
          <w:szCs w:val="24"/>
          <w:lang w:val="uk-UA" w:eastAsia="ar-SA"/>
        </w:rPr>
        <w:t xml:space="preserve">) Американська, Британська, Канадська;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b</w:t>
      </w:r>
      <w:r w:rsidRPr="0088636D">
        <w:rPr>
          <w:rFonts w:ascii="Times New Roman" w:eastAsia="Times New Roman" w:hAnsi="Times New Roman" w:cs="Times New Roman"/>
          <w:sz w:val="24"/>
          <w:szCs w:val="24"/>
          <w:lang w:val="uk-UA" w:eastAsia="ar-SA"/>
        </w:rPr>
        <w:t xml:space="preserve">) Американська та Латиноамериканська;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c</w:t>
      </w:r>
      <w:r w:rsidRPr="0088636D">
        <w:rPr>
          <w:rFonts w:ascii="Times New Roman" w:eastAsia="Times New Roman" w:hAnsi="Times New Roman" w:cs="Times New Roman"/>
          <w:sz w:val="24"/>
          <w:szCs w:val="24"/>
          <w:lang w:val="uk-UA" w:eastAsia="ar-SA"/>
        </w:rPr>
        <w:t xml:space="preserve">) Американська, Британська, Канадська і Латиноамериканська; </w:t>
      </w:r>
    </w:p>
    <w:p w:rsidR="0088636D" w:rsidRPr="0088636D" w:rsidRDefault="0088636D" w:rsidP="0088636D">
      <w:pPr>
        <w:suppressAutoHyphens/>
        <w:spacing w:after="0" w:line="240" w:lineRule="auto"/>
        <w:ind w:left="708"/>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eastAsia="ar-SA"/>
        </w:rPr>
        <w:t>d</w:t>
      </w:r>
      <w:r w:rsidRPr="0088636D">
        <w:rPr>
          <w:rFonts w:ascii="Times New Roman" w:eastAsia="Times New Roman" w:hAnsi="Times New Roman" w:cs="Times New Roman"/>
          <w:sz w:val="24"/>
          <w:szCs w:val="24"/>
          <w:lang w:val="uk-UA" w:eastAsia="ar-SA"/>
        </w:rPr>
        <w:t>) США і Великобританія.</w:t>
      </w:r>
    </w:p>
    <w:p w:rsidR="0088636D" w:rsidRPr="0088636D" w:rsidRDefault="0088636D" w:rsidP="0088636D">
      <w:pPr>
        <w:suppressAutoHyphens/>
        <w:spacing w:after="0" w:line="240" w:lineRule="auto"/>
        <w:jc w:val="both"/>
        <w:rPr>
          <w:rFonts w:ascii="Times New Roman" w:eastAsia="Times New Roman" w:hAnsi="Times New Roman" w:cs="Times New Roman"/>
          <w:b/>
          <w:bCs/>
          <w:iCs/>
          <w:sz w:val="24"/>
          <w:szCs w:val="24"/>
          <w:lang w:val="uk-UA" w:eastAsia="ar-SA"/>
        </w:rPr>
      </w:pP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val="uk-UA" w:eastAsia="uk-UA"/>
        </w:rPr>
      </w:pPr>
      <w:bookmarkStart w:id="4" w:name="_Hlk121033424"/>
      <w:r w:rsidRPr="0088636D">
        <w:rPr>
          <w:rFonts w:ascii="Times New Roman" w:eastAsia="Times New Roman" w:hAnsi="Times New Roman" w:cs="Times New Roman"/>
          <w:b/>
          <w:bCs/>
          <w:color w:val="000000"/>
          <w:sz w:val="24"/>
          <w:szCs w:val="24"/>
          <w:lang w:val="uk-UA" w:eastAsia="uk-UA"/>
        </w:rPr>
        <w:t>Загальне матеріальне та навально-методичне забезпечення лекції:</w:t>
      </w:r>
    </w:p>
    <w:p w:rsidR="0088636D" w:rsidRPr="0088636D" w:rsidRDefault="0088636D" w:rsidP="008512F9">
      <w:pPr>
        <w:numPr>
          <w:ilvl w:val="0"/>
          <w:numId w:val="5"/>
        </w:numPr>
        <w:suppressAutoHyphens/>
        <w:spacing w:after="0" w:line="240" w:lineRule="auto"/>
        <w:ind w:left="709"/>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лекційна аудиторія (очна форма навчання)</w:t>
      </w:r>
    </w:p>
    <w:p w:rsidR="0088636D" w:rsidRPr="0088636D" w:rsidRDefault="0088636D" w:rsidP="0088636D">
      <w:pPr>
        <w:numPr>
          <w:ilvl w:val="0"/>
          <w:numId w:val="3"/>
        </w:numPr>
        <w:suppressAutoHyphens/>
        <w:spacing w:after="0" w:line="240" w:lineRule="auto"/>
        <w:ind w:left="709" w:firstLine="0"/>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 xml:space="preserve">навчальний клас на платформі </w:t>
      </w:r>
      <w:r w:rsidRPr="0088636D">
        <w:rPr>
          <w:rFonts w:ascii="Times New Roman" w:eastAsia="Times New Roman" w:hAnsi="Times New Roman" w:cs="Times New Roman"/>
          <w:color w:val="000000"/>
          <w:sz w:val="24"/>
          <w:szCs w:val="24"/>
          <w:lang w:val="en-US" w:eastAsia="ru-RU"/>
        </w:rPr>
        <w:t>MS</w:t>
      </w:r>
      <w:r w:rsidRPr="0088636D">
        <w:rPr>
          <w:rFonts w:ascii="Times New Roman" w:eastAsia="Times New Roman" w:hAnsi="Times New Roman" w:cs="Times New Roman"/>
          <w:color w:val="000000"/>
          <w:sz w:val="24"/>
          <w:szCs w:val="24"/>
          <w:lang w:val="uk-UA" w:eastAsia="ru-RU"/>
        </w:rPr>
        <w:t xml:space="preserve"> </w:t>
      </w:r>
      <w:r w:rsidRPr="0088636D">
        <w:rPr>
          <w:rFonts w:ascii="Times New Roman" w:eastAsia="Times New Roman" w:hAnsi="Times New Roman" w:cs="Times New Roman"/>
          <w:color w:val="000000"/>
          <w:sz w:val="24"/>
          <w:szCs w:val="24"/>
          <w:lang w:val="en-US" w:eastAsia="ru-RU"/>
        </w:rPr>
        <w:t>Teams</w:t>
      </w:r>
      <w:r w:rsidRPr="0088636D">
        <w:rPr>
          <w:rFonts w:ascii="Times New Roman" w:eastAsia="Times New Roman" w:hAnsi="Times New Roman" w:cs="Times New Roman"/>
          <w:color w:val="000000"/>
          <w:sz w:val="24"/>
          <w:szCs w:val="24"/>
          <w:lang w:val="uk-UA" w:eastAsia="ru-RU"/>
        </w:rPr>
        <w:t xml:space="preserve"> (дистанційна форма навчання)</w:t>
      </w:r>
    </w:p>
    <w:p w:rsidR="0088636D" w:rsidRPr="0088636D" w:rsidRDefault="0088636D" w:rsidP="0088636D">
      <w:pPr>
        <w:numPr>
          <w:ilvl w:val="0"/>
          <w:numId w:val="3"/>
        </w:numPr>
        <w:suppressAutoHyphens/>
        <w:spacing w:after="0" w:line="240" w:lineRule="auto"/>
        <w:ind w:left="709" w:firstLine="0"/>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 xml:space="preserve"> </w:t>
      </w:r>
      <w:r w:rsidRPr="0088636D">
        <w:rPr>
          <w:rFonts w:ascii="Times New Roman" w:eastAsia="Times New Roman" w:hAnsi="Times New Roman" w:cs="Times New Roman"/>
          <w:b/>
          <w:color w:val="000000"/>
          <w:sz w:val="24"/>
          <w:szCs w:val="24"/>
          <w:lang w:val="uk-UA" w:eastAsia="ar-SA"/>
        </w:rPr>
        <w:t>обладнання:</w:t>
      </w:r>
    </w:p>
    <w:p w:rsidR="0088636D" w:rsidRPr="0088636D" w:rsidRDefault="0088636D" w:rsidP="0088636D">
      <w:pPr>
        <w:suppressAutoHyphens/>
        <w:spacing w:after="0" w:line="240" w:lineRule="auto"/>
        <w:ind w:left="709"/>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мультимедійний проектор</w:t>
      </w:r>
    </w:p>
    <w:p w:rsidR="0088636D" w:rsidRPr="0088636D" w:rsidRDefault="0088636D" w:rsidP="0088636D">
      <w:pPr>
        <w:numPr>
          <w:ilvl w:val="0"/>
          <w:numId w:val="3"/>
        </w:numPr>
        <w:suppressAutoHyphens/>
        <w:spacing w:after="0" w:line="240" w:lineRule="auto"/>
        <w:ind w:left="709" w:firstLine="0"/>
        <w:jc w:val="both"/>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 xml:space="preserve"> устаткування:</w:t>
      </w:r>
    </w:p>
    <w:p w:rsidR="0088636D" w:rsidRPr="0088636D" w:rsidRDefault="0088636D" w:rsidP="0088636D">
      <w:pPr>
        <w:suppressAutoHyphens/>
        <w:spacing w:after="0" w:line="240" w:lineRule="auto"/>
        <w:ind w:left="709"/>
        <w:rPr>
          <w:rFonts w:ascii="Times New Roman" w:eastAsia="Times New Roman" w:hAnsi="Times New Roman" w:cs="Times New Roman"/>
          <w:color w:val="000000"/>
          <w:sz w:val="24"/>
          <w:szCs w:val="24"/>
          <w:lang w:val="uk-UA" w:eastAsia="ar-SA"/>
        </w:rPr>
      </w:pPr>
      <w:r w:rsidRPr="0088636D">
        <w:rPr>
          <w:rFonts w:ascii="Times New Roman" w:eastAsia="Times New Roman" w:hAnsi="Times New Roman" w:cs="Times New Roman"/>
          <w:color w:val="000000"/>
          <w:sz w:val="24"/>
          <w:szCs w:val="24"/>
          <w:lang w:val="uk-UA" w:eastAsia="ar-SA"/>
        </w:rPr>
        <w:t>персональний комп’ютер</w:t>
      </w:r>
    </w:p>
    <w:p w:rsidR="0088636D" w:rsidRPr="0088636D" w:rsidRDefault="0088636D" w:rsidP="0088636D">
      <w:pPr>
        <w:numPr>
          <w:ilvl w:val="0"/>
          <w:numId w:val="3"/>
        </w:numPr>
        <w:suppressAutoHyphens/>
        <w:spacing w:after="0" w:line="240" w:lineRule="auto"/>
        <w:ind w:left="709" w:firstLine="0"/>
        <w:jc w:val="both"/>
        <w:rPr>
          <w:rFonts w:ascii="Times New Roman" w:eastAsia="Times New Roman" w:hAnsi="Times New Roman" w:cs="Times New Roman"/>
          <w:b/>
          <w:color w:val="000000"/>
          <w:sz w:val="24"/>
          <w:szCs w:val="24"/>
          <w:lang w:val="uk-UA" w:eastAsia="ar-SA"/>
        </w:rPr>
      </w:pPr>
      <w:r w:rsidRPr="0088636D">
        <w:rPr>
          <w:rFonts w:ascii="Times New Roman" w:eastAsia="Times New Roman" w:hAnsi="Times New Roman" w:cs="Times New Roman"/>
          <w:b/>
          <w:color w:val="000000"/>
          <w:sz w:val="24"/>
          <w:szCs w:val="24"/>
          <w:lang w:val="uk-UA" w:eastAsia="ar-SA"/>
        </w:rPr>
        <w:t>ілюстративні матеріали:</w:t>
      </w:r>
    </w:p>
    <w:p w:rsidR="0088636D" w:rsidRPr="0088636D" w:rsidRDefault="0088636D" w:rsidP="0088636D">
      <w:pPr>
        <w:numPr>
          <w:ilvl w:val="0"/>
          <w:numId w:val="3"/>
        </w:numPr>
        <w:suppressAutoHyphens/>
        <w:spacing w:after="0" w:line="240" w:lineRule="auto"/>
        <w:ind w:left="709" w:firstLine="0"/>
        <w:contextualSpacing/>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val="uk-UA" w:eastAsia="ru-RU"/>
        </w:rPr>
        <w:t>мультимедійна презентація</w:t>
      </w: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val="uk-UA" w:eastAsia="ru-RU"/>
        </w:rPr>
      </w:pPr>
      <w:r w:rsidRPr="0088636D">
        <w:rPr>
          <w:rFonts w:ascii="Times New Roman" w:eastAsia="Times New Roman" w:hAnsi="Times New Roman" w:cs="Times New Roman"/>
          <w:color w:val="000000"/>
          <w:sz w:val="24"/>
          <w:szCs w:val="24"/>
          <w:lang w:eastAsia="ru-RU"/>
        </w:rPr>
        <w:t> </w:t>
      </w:r>
    </w:p>
    <w:p w:rsidR="0088636D" w:rsidRPr="0088636D" w:rsidRDefault="0088636D" w:rsidP="0088636D">
      <w:pPr>
        <w:spacing w:after="0" w:line="240" w:lineRule="auto"/>
        <w:jc w:val="both"/>
        <w:rPr>
          <w:rFonts w:ascii="Times New Roman" w:eastAsia="Times New Roman" w:hAnsi="Times New Roman" w:cs="Times New Roman"/>
          <w:color w:val="000000"/>
          <w:sz w:val="24"/>
          <w:szCs w:val="24"/>
          <w:lang w:eastAsia="ru-RU"/>
        </w:rPr>
      </w:pPr>
      <w:r w:rsidRPr="0088636D">
        <w:rPr>
          <w:rFonts w:ascii="Times New Roman" w:eastAsia="Times New Roman" w:hAnsi="Times New Roman" w:cs="Times New Roman"/>
          <w:b/>
          <w:bCs/>
          <w:color w:val="000000"/>
          <w:sz w:val="24"/>
          <w:szCs w:val="24"/>
          <w:lang w:eastAsia="ru-RU"/>
        </w:rPr>
        <w:t>Питання для самоконтролю:</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Соціальна відповідальність бізнесу. </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Поняття «соціальна відповідальність бізнесу». </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Рівні соціальної відповідальності: базовий; корпоративний; вищий. </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Вигоди для бізнесу від виконання принципів соціальної відповідальності. </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 xml:space="preserve">Переваги, які отримує суспільство від дотримання бізнесом принципів соціальної відповідальності. </w:t>
      </w:r>
    </w:p>
    <w:p w:rsidR="0088636D" w:rsidRPr="0088636D" w:rsidRDefault="0088636D" w:rsidP="008512F9">
      <w:pPr>
        <w:numPr>
          <w:ilvl w:val="0"/>
          <w:numId w:val="13"/>
        </w:numPr>
        <w:shd w:val="clear" w:color="auto" w:fill="FFFFFF"/>
        <w:tabs>
          <w:tab w:val="left" w:pos="0"/>
        </w:tabs>
        <w:suppressAutoHyphens/>
        <w:spacing w:after="0" w:line="240" w:lineRule="auto"/>
        <w:contextualSpacing/>
        <w:jc w:val="both"/>
        <w:rPr>
          <w:rFonts w:ascii="Times New Roman" w:eastAsia="Times New Roman" w:hAnsi="Times New Roman" w:cs="Times New Roman"/>
          <w:sz w:val="24"/>
          <w:szCs w:val="24"/>
          <w:lang w:val="uk-UA" w:eastAsia="ar-SA"/>
        </w:rPr>
      </w:pPr>
      <w:r w:rsidRPr="0088636D">
        <w:rPr>
          <w:rFonts w:ascii="Times New Roman" w:eastAsia="Times New Roman" w:hAnsi="Times New Roman" w:cs="Times New Roman"/>
          <w:sz w:val="24"/>
          <w:szCs w:val="24"/>
          <w:lang w:val="uk-UA" w:eastAsia="ar-SA"/>
        </w:rPr>
        <w:t>Моделі соціальної відповідальності бізнесу: американська; європейська; японська.</w:t>
      </w:r>
    </w:p>
    <w:bookmarkEnd w:id="4"/>
    <w:p w:rsidR="0088636D" w:rsidRPr="0088636D" w:rsidRDefault="0088636D" w:rsidP="0088636D">
      <w:pPr>
        <w:suppressAutoHyphens/>
        <w:spacing w:after="0" w:line="240" w:lineRule="auto"/>
        <w:rPr>
          <w:rFonts w:ascii="Times New Roman" w:eastAsia="Times New Roman" w:hAnsi="Times New Roman" w:cs="Times New Roman"/>
          <w:b/>
          <w:bCs/>
          <w:iCs/>
          <w:sz w:val="24"/>
          <w:szCs w:val="24"/>
          <w:lang w:val="uk-UA" w:eastAsia="ar-SA"/>
        </w:rPr>
      </w:pPr>
    </w:p>
    <w:p w:rsidR="0088636D" w:rsidRPr="0088636D" w:rsidRDefault="0088636D" w:rsidP="0088636D">
      <w:pPr>
        <w:spacing w:after="0" w:line="240" w:lineRule="auto"/>
        <w:rPr>
          <w:rFonts w:ascii="Times New Roman" w:eastAsia="Times New Roman" w:hAnsi="Times New Roman" w:cs="Times New Roman"/>
          <w:b/>
          <w:bCs/>
          <w:color w:val="000000"/>
          <w:sz w:val="24"/>
          <w:szCs w:val="24"/>
          <w:lang w:eastAsia="ru-RU"/>
        </w:rPr>
      </w:pPr>
      <w:r w:rsidRPr="0088636D">
        <w:rPr>
          <w:rFonts w:ascii="Times New Roman" w:eastAsia="Times New Roman" w:hAnsi="Times New Roman" w:cs="Times New Roman"/>
          <w:b/>
          <w:bCs/>
          <w:color w:val="000000"/>
          <w:sz w:val="24"/>
          <w:szCs w:val="24"/>
          <w:lang w:eastAsia="ru-RU"/>
        </w:rPr>
        <w:t>Список використаних джерел:</w:t>
      </w:r>
    </w:p>
    <w:p w:rsidR="00FD60CF" w:rsidRPr="00FD60CF" w:rsidRDefault="00FD60CF" w:rsidP="00FD60CF">
      <w:pPr>
        <w:tabs>
          <w:tab w:val="left" w:pos="0"/>
        </w:tabs>
        <w:jc w:val="both"/>
        <w:rPr>
          <w:rFonts w:ascii="Times New Roman" w:hAnsi="Times New Roman" w:cs="Times New Roman"/>
          <w:b/>
          <w:sz w:val="24"/>
          <w:szCs w:val="24"/>
          <w:lang w:val="uk-UA"/>
        </w:rPr>
      </w:pPr>
      <w:r w:rsidRPr="00FD60CF">
        <w:rPr>
          <w:rFonts w:ascii="Times New Roman" w:hAnsi="Times New Roman" w:cs="Times New Roman"/>
          <w:b/>
          <w:sz w:val="24"/>
          <w:szCs w:val="24"/>
          <w:lang w:val="uk-UA"/>
        </w:rPr>
        <w:t>Основна література:</w:t>
      </w:r>
    </w:p>
    <w:p w:rsidR="00FD60CF" w:rsidRPr="00FD60CF" w:rsidRDefault="00FD60CF" w:rsidP="008512F9">
      <w:pPr>
        <w:pStyle w:val="21"/>
        <w:numPr>
          <w:ilvl w:val="0"/>
          <w:numId w:val="42"/>
        </w:numPr>
        <w:jc w:val="both"/>
        <w:rPr>
          <w:sz w:val="24"/>
          <w:szCs w:val="24"/>
        </w:rPr>
      </w:pPr>
      <w:r w:rsidRPr="00FD60CF">
        <w:rPr>
          <w:sz w:val="24"/>
          <w:szCs w:val="24"/>
          <w:lang w:val="ru-RU"/>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w:t>
      </w:r>
      <w:hyperlink r:id="rId70" w:history="1">
        <w:r w:rsidRPr="00FD60CF">
          <w:rPr>
            <w:rStyle w:val="a6"/>
            <w:sz w:val="24"/>
            <w:szCs w:val="24"/>
            <w:lang w:val="ru-RU"/>
          </w:rPr>
          <w:t>див.</w:t>
        </w:r>
      </w:hyperlink>
    </w:p>
    <w:p w:rsidR="00FD60CF" w:rsidRPr="00FD60CF" w:rsidRDefault="00FD60CF" w:rsidP="008512F9">
      <w:pPr>
        <w:pStyle w:val="21"/>
        <w:numPr>
          <w:ilvl w:val="0"/>
          <w:numId w:val="42"/>
        </w:numPr>
        <w:jc w:val="both"/>
        <w:rPr>
          <w:sz w:val="24"/>
          <w:szCs w:val="24"/>
        </w:rPr>
      </w:pPr>
      <w:r w:rsidRPr="00FD60CF">
        <w:rPr>
          <w:sz w:val="24"/>
          <w:szCs w:val="24"/>
        </w:rPr>
        <w:t xml:space="preserve">Голованова І.А., Бєлікова І.В., Ляхова Н.О. Організація та економіка охорони здоров'я: навч. посіб. – Полтава, 2021, 236 с. </w:t>
      </w:r>
      <w:hyperlink r:id="rId71" w:history="1">
        <w:r w:rsidRPr="00FD60CF">
          <w:rPr>
            <w:rStyle w:val="a6"/>
            <w:sz w:val="24"/>
            <w:szCs w:val="24"/>
          </w:rPr>
          <w:t>див.</w:t>
        </w:r>
      </w:hyperlink>
    </w:p>
    <w:p w:rsidR="00FD60CF" w:rsidRPr="00FD60CF" w:rsidRDefault="00FD60CF" w:rsidP="008512F9">
      <w:pPr>
        <w:pStyle w:val="21"/>
        <w:numPr>
          <w:ilvl w:val="0"/>
          <w:numId w:val="42"/>
        </w:numPr>
        <w:rPr>
          <w:sz w:val="24"/>
          <w:szCs w:val="24"/>
        </w:rPr>
      </w:pPr>
      <w:r w:rsidRPr="00FD60CF">
        <w:rPr>
          <w:sz w:val="24"/>
          <w:szCs w:val="24"/>
        </w:rPr>
        <w:t xml:space="preserve">СТ-Н МОЗУ 42-4.2:2011 Лікарські засоби. Управління ризиками для якості (ICH Q9) </w:t>
      </w:r>
    </w:p>
    <w:p w:rsidR="00FD60CF" w:rsidRPr="00FD60CF" w:rsidRDefault="00FD60CF" w:rsidP="008512F9">
      <w:pPr>
        <w:pStyle w:val="21"/>
        <w:numPr>
          <w:ilvl w:val="0"/>
          <w:numId w:val="42"/>
        </w:numPr>
        <w:jc w:val="both"/>
        <w:rPr>
          <w:sz w:val="24"/>
          <w:szCs w:val="24"/>
        </w:rPr>
      </w:pPr>
      <w:r w:rsidRPr="00FD60CF">
        <w:rPr>
          <w:sz w:val="24"/>
          <w:szCs w:val="24"/>
        </w:rPr>
        <w:t xml:space="preserve">Паліативна допомога : організаційні, фармацевтичні та клінічні аспекти знеболення (навчальний посібник). Київ 2019. 138 с. </w:t>
      </w:r>
      <w:hyperlink r:id="rId72" w:history="1">
        <w:r w:rsidRPr="00FD60CF">
          <w:rPr>
            <w:rStyle w:val="a6"/>
            <w:sz w:val="24"/>
            <w:szCs w:val="24"/>
          </w:rPr>
          <w:t>див.</w:t>
        </w:r>
      </w:hyperlink>
    </w:p>
    <w:p w:rsidR="00FD60CF" w:rsidRPr="00FD60CF" w:rsidRDefault="00FD60CF" w:rsidP="008512F9">
      <w:pPr>
        <w:pStyle w:val="a8"/>
        <w:numPr>
          <w:ilvl w:val="0"/>
          <w:numId w:val="42"/>
        </w:numPr>
        <w:tabs>
          <w:tab w:val="left" w:pos="0"/>
        </w:tabs>
        <w:suppressAutoHyphens/>
        <w:jc w:val="both"/>
      </w:pPr>
      <w:r w:rsidRPr="00FD60CF">
        <w:t xml:space="preserve">Борщ В.І., Рудінська О.В., Кусик Н.Л. Менеджмент та маркетинг в охороні здоровʼя: навчальний посібник. Херсон: Олді+, 2022. 264 с. </w:t>
      </w:r>
    </w:p>
    <w:p w:rsidR="00FD60CF" w:rsidRPr="00FD60CF" w:rsidRDefault="00FD60CF" w:rsidP="008512F9">
      <w:pPr>
        <w:pStyle w:val="a8"/>
        <w:numPr>
          <w:ilvl w:val="0"/>
          <w:numId w:val="42"/>
        </w:numPr>
        <w:tabs>
          <w:tab w:val="left" w:pos="0"/>
        </w:tabs>
        <w:suppressAutoHyphens/>
        <w:jc w:val="both"/>
      </w:pPr>
      <w:r w:rsidRPr="00FD60CF">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FD60CF" w:rsidRPr="00FD60CF" w:rsidRDefault="00FD60CF" w:rsidP="008512F9">
      <w:pPr>
        <w:pStyle w:val="a8"/>
        <w:numPr>
          <w:ilvl w:val="0"/>
          <w:numId w:val="42"/>
        </w:numPr>
        <w:tabs>
          <w:tab w:val="left" w:pos="0"/>
        </w:tabs>
        <w:suppressAutoHyphens/>
        <w:jc w:val="both"/>
      </w:pPr>
      <w:r w:rsidRPr="00FD60CF">
        <w:t>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https://ela.kpi.ua/items/564de540-fd83-4995-b1b4-505e456fc246</w:t>
      </w:r>
    </w:p>
    <w:p w:rsidR="00FD60CF" w:rsidRPr="00FD60CF" w:rsidRDefault="00FD60CF" w:rsidP="00FD60CF">
      <w:pPr>
        <w:pStyle w:val="21"/>
        <w:rPr>
          <w:b/>
          <w:sz w:val="24"/>
          <w:szCs w:val="24"/>
        </w:rPr>
      </w:pPr>
    </w:p>
    <w:p w:rsidR="00FD60CF" w:rsidRPr="00FD60CF" w:rsidRDefault="00FD60CF" w:rsidP="00FD60CF">
      <w:pPr>
        <w:pStyle w:val="21"/>
        <w:ind w:firstLine="360"/>
        <w:rPr>
          <w:b/>
          <w:sz w:val="24"/>
          <w:szCs w:val="24"/>
        </w:rPr>
      </w:pPr>
      <w:r w:rsidRPr="00FD60CF">
        <w:rPr>
          <w:b/>
          <w:sz w:val="24"/>
          <w:szCs w:val="24"/>
        </w:rPr>
        <w:t>Додаткова література:</w:t>
      </w:r>
    </w:p>
    <w:p w:rsidR="00FD60CF" w:rsidRPr="00FD60CF" w:rsidRDefault="00FD60CF" w:rsidP="008512F9">
      <w:pPr>
        <w:pStyle w:val="a8"/>
        <w:numPr>
          <w:ilvl w:val="0"/>
          <w:numId w:val="43"/>
        </w:numPr>
        <w:tabs>
          <w:tab w:val="left" w:pos="0"/>
        </w:tabs>
        <w:suppressAutoHyphens/>
        <w:jc w:val="both"/>
      </w:pPr>
      <w:r w:rsidRPr="00FD60CF">
        <w:t>Фармакоекономіка: навч. посіб. для студ. вищ. навч. закл. ІІІ-ІV рівнів акредитації/ Яковлєва Л. В. та ін.; за ред. Л. В. Яковлєвої. Вінниця: Нова книга, 2017. 207 с.</w:t>
      </w:r>
    </w:p>
    <w:p w:rsidR="00FD60CF" w:rsidRPr="00FD60CF" w:rsidRDefault="00FD60CF" w:rsidP="008512F9">
      <w:pPr>
        <w:pStyle w:val="a8"/>
        <w:numPr>
          <w:ilvl w:val="0"/>
          <w:numId w:val="43"/>
        </w:numPr>
        <w:tabs>
          <w:tab w:val="left" w:pos="0"/>
        </w:tabs>
        <w:suppressAutoHyphens/>
        <w:jc w:val="both"/>
      </w:pPr>
      <w:r w:rsidRPr="00FD60CF">
        <w:lastRenderedPageBreak/>
        <w:t>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w:t>
      </w:r>
      <w:r w:rsidRPr="00FD60CF">
        <w:rPr>
          <w:lang w:val="uk-UA"/>
        </w:rPr>
        <w:t xml:space="preserve"> </w:t>
      </w:r>
      <w:hyperlink r:id="rId73" w:history="1">
        <w:r w:rsidRPr="00FD60CF">
          <w:rPr>
            <w:rStyle w:val="a6"/>
            <w:lang w:val="uk-UA"/>
          </w:rPr>
          <w:t>див.</w:t>
        </w:r>
      </w:hyperlink>
    </w:p>
    <w:p w:rsidR="00FD60CF" w:rsidRPr="00FD60CF" w:rsidRDefault="00FD60CF" w:rsidP="008512F9">
      <w:pPr>
        <w:pStyle w:val="a8"/>
        <w:numPr>
          <w:ilvl w:val="0"/>
          <w:numId w:val="43"/>
        </w:numPr>
        <w:tabs>
          <w:tab w:val="left" w:pos="0"/>
        </w:tabs>
        <w:suppressAutoHyphens/>
        <w:jc w:val="both"/>
      </w:pPr>
      <w:r w:rsidRPr="00FD60CF">
        <w:t>Смірнова Г. В. Регулювання фармацевтичного ринку в контексті</w:t>
      </w:r>
      <w:r w:rsidRPr="00FD60CF">
        <w:rPr>
          <w:lang w:val="uk-UA"/>
        </w:rPr>
        <w:t xml:space="preserve"> </w:t>
      </w:r>
      <w:r w:rsidRPr="00FD60CF">
        <w:t>оптимізації соціального забезпечення населення. Регіональна економіка. 2021. С. 29-34.</w:t>
      </w:r>
      <w:r w:rsidRPr="00FD60CF">
        <w:rPr>
          <w:lang w:val="uk-UA"/>
        </w:rPr>
        <w:t xml:space="preserve"> </w:t>
      </w:r>
      <w:hyperlink r:id="rId74" w:history="1">
        <w:r w:rsidRPr="00FD60CF">
          <w:rPr>
            <w:rStyle w:val="a6"/>
            <w:lang w:val="uk-UA"/>
          </w:rPr>
          <w:t>див.</w:t>
        </w:r>
      </w:hyperlink>
    </w:p>
    <w:p w:rsidR="00FD60CF" w:rsidRPr="00FD60CF" w:rsidRDefault="00FD60CF" w:rsidP="008512F9">
      <w:pPr>
        <w:pStyle w:val="a8"/>
        <w:numPr>
          <w:ilvl w:val="0"/>
          <w:numId w:val="43"/>
        </w:numPr>
        <w:tabs>
          <w:tab w:val="left" w:pos="0"/>
        </w:tabs>
        <w:suppressAutoHyphens/>
        <w:jc w:val="both"/>
      </w:pPr>
      <w:r w:rsidRPr="00FD60CF">
        <w:t>Тарасюк М.Б., Паламар І.В., Орлова Н.М., Головчанська-Пушкар</w:t>
      </w:r>
      <w:r w:rsidRPr="00FD60CF">
        <w:rPr>
          <w:lang w:val="uk-UA"/>
        </w:rPr>
        <w:t xml:space="preserve"> </w:t>
      </w:r>
      <w:r w:rsidRPr="00FD60CF">
        <w:t>С.С., Клименюк В.П., Тодоренко Л.С. Тайм-менеджмент в роботі керівників</w:t>
      </w:r>
      <w:r w:rsidRPr="00FD60CF">
        <w:rPr>
          <w:lang w:val="uk-UA"/>
        </w:rPr>
        <w:t xml:space="preserve"> </w:t>
      </w:r>
      <w:r w:rsidRPr="00FD60CF">
        <w:t>аптечних закладів. Наукові інновації та передові технології. 2024. № 5 (33). С.</w:t>
      </w:r>
      <w:r w:rsidRPr="00FD60CF">
        <w:rPr>
          <w:lang w:val="uk-UA"/>
        </w:rPr>
        <w:t xml:space="preserve"> </w:t>
      </w:r>
      <w:r w:rsidRPr="00FD60CF">
        <w:t>411-424. DOI: https://doi.org/10.52058/2786-5274-2024-5(33)-411-424</w:t>
      </w:r>
    </w:p>
    <w:p w:rsidR="00FD60CF" w:rsidRPr="00FD60CF" w:rsidRDefault="00FD60CF" w:rsidP="008512F9">
      <w:pPr>
        <w:pStyle w:val="a8"/>
        <w:numPr>
          <w:ilvl w:val="0"/>
          <w:numId w:val="43"/>
        </w:numPr>
        <w:tabs>
          <w:tab w:val="left" w:pos="0"/>
        </w:tabs>
        <w:suppressAutoHyphens/>
        <w:jc w:val="both"/>
      </w:pPr>
      <w:r w:rsidRPr="00FD60CF">
        <w:t>Тарасюк М.Б., Байдюк І.А., Паламар І.В., Карпенко І.А., Пірвердієва</w:t>
      </w:r>
      <w:r w:rsidRPr="00FD60CF">
        <w:rPr>
          <w:lang w:val="uk-UA"/>
        </w:rPr>
        <w:t xml:space="preserve"> </w:t>
      </w:r>
      <w:r w:rsidRPr="00FD60CF">
        <w:t>І.С., Ткаченко О.В. Маркетингова діяльність всеукраїнської аптечної мережі</w:t>
      </w:r>
      <w:r w:rsidRPr="00FD60CF">
        <w:rPr>
          <w:lang w:val="uk-UA"/>
        </w:rPr>
        <w:t xml:space="preserve"> </w:t>
      </w:r>
      <w:r w:rsidRPr="00FD60CF">
        <w:t>«Подорожник» м. Вінниця. Вісник Вінницького національного медичного</w:t>
      </w:r>
      <w:r w:rsidRPr="00FD60CF">
        <w:rPr>
          <w:lang w:val="uk-UA"/>
        </w:rPr>
        <w:t xml:space="preserve"> </w:t>
      </w:r>
      <w:r w:rsidRPr="00FD60CF">
        <w:t>університету. 2023. Т. 27. № 4. С. 641-644 DOI: https://doi.org/10.31393/reportsvnmedical-2023-27(4)-19</w:t>
      </w:r>
    </w:p>
    <w:p w:rsidR="00FD60CF" w:rsidRPr="00FD60CF" w:rsidRDefault="00FD60CF" w:rsidP="008512F9">
      <w:pPr>
        <w:pStyle w:val="a8"/>
        <w:numPr>
          <w:ilvl w:val="0"/>
          <w:numId w:val="43"/>
        </w:numPr>
        <w:tabs>
          <w:tab w:val="left" w:pos="0"/>
        </w:tabs>
        <w:suppressAutoHyphens/>
        <w:jc w:val="both"/>
      </w:pPr>
      <w:r w:rsidRPr="00FD60CF">
        <w:t>Ткаченко Н. О., Городецька І. Я., Левицька О. Р. Аналіз підходів до</w:t>
      </w:r>
      <w:r w:rsidRPr="00FD60CF">
        <w:rPr>
          <w:lang w:val="uk-UA"/>
        </w:rPr>
        <w:t xml:space="preserve"> </w:t>
      </w:r>
      <w:r w:rsidRPr="00FD60CF">
        <w:t>складання соціальної звітності фармацевтичних підприємств. Актуальні</w:t>
      </w:r>
      <w:r w:rsidRPr="00FD60CF">
        <w:rPr>
          <w:lang w:val="uk-UA"/>
        </w:rPr>
        <w:t xml:space="preserve"> </w:t>
      </w:r>
      <w:r w:rsidRPr="00FD60CF">
        <w:t>питання фармацевтичної і медичної науки та практики. 2023. Т. 16, № 2. С. 186-193.</w:t>
      </w:r>
    </w:p>
    <w:p w:rsidR="00FD60CF" w:rsidRPr="00FD60CF" w:rsidRDefault="00FD60CF" w:rsidP="008512F9">
      <w:pPr>
        <w:pStyle w:val="a8"/>
        <w:numPr>
          <w:ilvl w:val="0"/>
          <w:numId w:val="43"/>
        </w:numPr>
        <w:tabs>
          <w:tab w:val="left" w:pos="0"/>
        </w:tabs>
        <w:suppressAutoHyphens/>
        <w:jc w:val="both"/>
      </w:pPr>
      <w:r w:rsidRPr="00FD60CF">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FD60CF" w:rsidRPr="00FD60CF" w:rsidRDefault="00FD60CF" w:rsidP="008512F9">
      <w:pPr>
        <w:pStyle w:val="a8"/>
        <w:numPr>
          <w:ilvl w:val="0"/>
          <w:numId w:val="43"/>
        </w:numPr>
        <w:tabs>
          <w:tab w:val="left" w:pos="0"/>
        </w:tabs>
        <w:suppressAutoHyphens/>
        <w:jc w:val="both"/>
      </w:pPr>
      <w:r w:rsidRPr="00FD60CF">
        <w:rPr>
          <w:lang w:val="uk-UA"/>
        </w:rPr>
        <w:t xml:space="preserve">Аналіз </w:t>
      </w:r>
      <w:r w:rsidRPr="00FD60CF">
        <w:t xml:space="preserve">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FD60CF" w:rsidRPr="00FD60CF" w:rsidRDefault="00FD60CF" w:rsidP="00FD60CF">
      <w:pPr>
        <w:ind w:left="709"/>
        <w:jc w:val="both"/>
        <w:rPr>
          <w:rFonts w:ascii="Times New Roman" w:hAnsi="Times New Roman" w:cs="Times New Roman"/>
          <w:b/>
          <w:sz w:val="24"/>
          <w:szCs w:val="24"/>
          <w:lang w:val="uk-UA"/>
        </w:rPr>
      </w:pPr>
    </w:p>
    <w:p w:rsidR="00FD60CF" w:rsidRPr="00FD60CF" w:rsidRDefault="00FD60CF" w:rsidP="00FD60CF">
      <w:pPr>
        <w:jc w:val="center"/>
        <w:rPr>
          <w:rFonts w:ascii="Times New Roman" w:hAnsi="Times New Roman" w:cs="Times New Roman"/>
          <w:b/>
          <w:sz w:val="24"/>
          <w:szCs w:val="24"/>
          <w:lang w:val="uk-UA"/>
        </w:rPr>
      </w:pPr>
      <w:r w:rsidRPr="00FD60CF">
        <w:rPr>
          <w:rFonts w:ascii="Times New Roman" w:hAnsi="Times New Roman" w:cs="Times New Roman"/>
          <w:b/>
          <w:sz w:val="24"/>
          <w:szCs w:val="24"/>
          <w:lang w:val="uk-UA"/>
        </w:rPr>
        <w:t>13. ЕЛЕКТРОННІ ІНФОРМАЦІЙНІ РЕСУРСИ</w:t>
      </w:r>
    </w:p>
    <w:p w:rsidR="00FD60CF" w:rsidRPr="00FD60CF" w:rsidRDefault="00FD60CF" w:rsidP="008512F9">
      <w:pPr>
        <w:pStyle w:val="a8"/>
        <w:numPr>
          <w:ilvl w:val="0"/>
          <w:numId w:val="44"/>
        </w:numPr>
        <w:suppressAutoHyphens/>
        <w:spacing w:before="7"/>
        <w:ind w:right="32"/>
        <w:jc w:val="both"/>
        <w:rPr>
          <w:lang w:val="uk-UA"/>
        </w:rPr>
      </w:pPr>
      <w:r w:rsidRPr="00FD60CF">
        <w:rPr>
          <w:lang w:val="uk-UA"/>
        </w:rPr>
        <w:t xml:space="preserve">Законодавство України [Електронний ресурс]. - Режим доступу:  </w:t>
      </w:r>
      <w:hyperlink r:id="rId75" w:history="1">
        <w:r w:rsidRPr="00FD60CF">
          <w:rPr>
            <w:rStyle w:val="a6"/>
            <w:lang w:val="uk-UA"/>
          </w:rPr>
          <w:t>https://zakon.rada.gov.ua/laws/show/</w:t>
        </w:r>
      </w:hyperlink>
    </w:p>
    <w:p w:rsidR="00FD60CF" w:rsidRPr="00FD60CF" w:rsidRDefault="00FD60CF" w:rsidP="008512F9">
      <w:pPr>
        <w:pStyle w:val="a8"/>
        <w:numPr>
          <w:ilvl w:val="0"/>
          <w:numId w:val="44"/>
        </w:numPr>
        <w:suppressAutoHyphens/>
        <w:spacing w:before="7"/>
        <w:ind w:right="32"/>
        <w:jc w:val="both"/>
        <w:rPr>
          <w:lang w:val="uk-UA"/>
        </w:rPr>
      </w:pPr>
      <w:r w:rsidRPr="00FD60CF">
        <w:rPr>
          <w:lang w:val="uk-UA"/>
        </w:rPr>
        <w:t xml:space="preserve">Міністерство охорони здоров’я України [Електронний ресурс]. - Режим доступу: </w:t>
      </w:r>
      <w:r w:rsidRPr="00FD60CF">
        <w:t xml:space="preserve"> </w:t>
      </w:r>
      <w:hyperlink r:id="rId76" w:history="1">
        <w:r w:rsidRPr="00FD60CF">
          <w:rPr>
            <w:rStyle w:val="a6"/>
            <w:lang w:val="uk-UA"/>
          </w:rPr>
          <w:t>https://moz.gov.ua/</w:t>
        </w:r>
      </w:hyperlink>
    </w:p>
    <w:p w:rsidR="00FD60CF" w:rsidRPr="00FD60CF" w:rsidRDefault="00FD60CF" w:rsidP="008512F9">
      <w:pPr>
        <w:pStyle w:val="a8"/>
        <w:numPr>
          <w:ilvl w:val="0"/>
          <w:numId w:val="44"/>
        </w:numPr>
        <w:suppressAutoHyphens/>
        <w:spacing w:before="7"/>
        <w:ind w:right="32"/>
        <w:jc w:val="both"/>
        <w:rPr>
          <w:lang w:val="uk-UA"/>
        </w:rPr>
      </w:pPr>
      <w:r w:rsidRPr="00FD60CF">
        <w:rPr>
          <w:lang w:val="uk-UA"/>
        </w:rPr>
        <w:t>Державна служба України з лікарських засобів та контролю за наркотиками (Держлікслужба)</w:t>
      </w:r>
      <w:r w:rsidRPr="00FD60CF">
        <w:rPr>
          <w:color w:val="1D1D1B"/>
          <w:shd w:val="clear" w:color="auto" w:fill="FFFFFF"/>
        </w:rPr>
        <w:t> </w:t>
      </w:r>
      <w:hyperlink r:id="rId77" w:history="1">
        <w:r w:rsidRPr="00FD60CF">
          <w:rPr>
            <w:rStyle w:val="a6"/>
            <w:lang w:val="uk-UA"/>
          </w:rPr>
          <w:t>https://www.dls.gov.ua/</w:t>
        </w:r>
      </w:hyperlink>
    </w:p>
    <w:p w:rsidR="00FD60CF" w:rsidRPr="00FD60CF" w:rsidRDefault="00FD60CF" w:rsidP="008512F9">
      <w:pPr>
        <w:pStyle w:val="a8"/>
        <w:numPr>
          <w:ilvl w:val="0"/>
          <w:numId w:val="44"/>
        </w:numPr>
        <w:suppressAutoHyphens/>
        <w:spacing w:before="7"/>
        <w:ind w:right="32"/>
        <w:jc w:val="both"/>
        <w:rPr>
          <w:lang w:val="uk-UA"/>
        </w:rPr>
      </w:pPr>
      <w:r w:rsidRPr="00FD60CF">
        <w:rPr>
          <w:lang w:val="uk-UA"/>
        </w:rPr>
        <w:t xml:space="preserve">Державний експертний центр МОЗ України </w:t>
      </w:r>
      <w:hyperlink r:id="rId78" w:history="1">
        <w:r w:rsidRPr="00FD60CF">
          <w:rPr>
            <w:rStyle w:val="a6"/>
            <w:lang w:val="uk-UA"/>
          </w:rPr>
          <w:t>https://www.dec.gov.ua/</w:t>
        </w:r>
      </w:hyperlink>
    </w:p>
    <w:p w:rsidR="00FD60CF" w:rsidRPr="00FD60CF" w:rsidRDefault="00FD60CF" w:rsidP="008512F9">
      <w:pPr>
        <w:pStyle w:val="a8"/>
        <w:numPr>
          <w:ilvl w:val="0"/>
          <w:numId w:val="44"/>
        </w:numPr>
        <w:suppressAutoHyphens/>
        <w:spacing w:before="7"/>
        <w:ind w:right="32"/>
        <w:jc w:val="both"/>
        <w:rPr>
          <w:lang w:val="uk-UA"/>
        </w:rPr>
      </w:pPr>
      <w:r w:rsidRPr="00FD60CF">
        <w:rPr>
          <w:lang w:val="uk-UA"/>
        </w:rPr>
        <w:t xml:space="preserve">Державний формуляр ЛЗ </w:t>
      </w:r>
      <w:hyperlink r:id="rId79" w:history="1">
        <w:r w:rsidRPr="00FD60CF">
          <w:rPr>
            <w:rStyle w:val="a6"/>
            <w:lang w:val="uk-UA"/>
          </w:rPr>
          <w:t>https://www.dec.gov.ua/materials/chinnij-vipusk-derzhavnogo-formulyara-likarskih-zasobiv/?role=ua</w:t>
        </w:r>
      </w:hyperlink>
    </w:p>
    <w:p w:rsidR="00FD60CF" w:rsidRPr="00FD60CF" w:rsidRDefault="00FD60CF" w:rsidP="008512F9">
      <w:pPr>
        <w:pStyle w:val="21"/>
        <w:numPr>
          <w:ilvl w:val="0"/>
          <w:numId w:val="44"/>
        </w:numPr>
        <w:jc w:val="both"/>
        <w:rPr>
          <w:sz w:val="24"/>
          <w:szCs w:val="24"/>
        </w:rPr>
      </w:pPr>
      <w:r w:rsidRPr="00FD60CF">
        <w:rPr>
          <w:sz w:val="24"/>
          <w:szCs w:val="24"/>
        </w:rPr>
        <w:t xml:space="preserve">Державний реєстр лікарських засобів України. [Електронний ресурс]. – Режим доступу: </w:t>
      </w:r>
      <w:hyperlink r:id="rId80" w:history="1">
        <w:r w:rsidRPr="00FD60CF">
          <w:rPr>
            <w:rStyle w:val="a6"/>
            <w:sz w:val="24"/>
            <w:szCs w:val="24"/>
          </w:rPr>
          <w:t>http://www.drlz.com.ua/ibp/ddsite.nsf/all/shlist?opendocument</w:t>
        </w:r>
      </w:hyperlink>
    </w:p>
    <w:p w:rsidR="00FD60CF" w:rsidRPr="00FD60CF" w:rsidRDefault="00FD60CF" w:rsidP="008512F9">
      <w:pPr>
        <w:pStyle w:val="21"/>
        <w:numPr>
          <w:ilvl w:val="0"/>
          <w:numId w:val="44"/>
        </w:numPr>
        <w:jc w:val="both"/>
        <w:rPr>
          <w:sz w:val="24"/>
          <w:szCs w:val="24"/>
        </w:rPr>
      </w:pPr>
      <w:r w:rsidRPr="00FD60CF">
        <w:rPr>
          <w:sz w:val="24"/>
          <w:szCs w:val="24"/>
        </w:rPr>
        <w:t>Compendium online. [Електронний ресурс]. – Режим доступу:</w:t>
      </w:r>
      <w:r w:rsidRPr="00FD60CF">
        <w:rPr>
          <w:sz w:val="24"/>
          <w:szCs w:val="24"/>
        </w:rPr>
        <w:br/>
      </w:r>
      <w:hyperlink r:id="rId81" w:history="1">
        <w:r w:rsidRPr="00FD60CF">
          <w:rPr>
            <w:rStyle w:val="a6"/>
            <w:sz w:val="24"/>
            <w:szCs w:val="24"/>
          </w:rPr>
          <w:t>https://compendium.com.ua/uk/</w:t>
        </w:r>
      </w:hyperlink>
      <w:r w:rsidRPr="00FD60CF">
        <w:rPr>
          <w:sz w:val="24"/>
          <w:szCs w:val="24"/>
        </w:rPr>
        <w:t xml:space="preserve"> </w:t>
      </w:r>
    </w:p>
    <w:p w:rsidR="00FD60CF" w:rsidRPr="00FD60CF" w:rsidRDefault="00FD60CF" w:rsidP="008512F9">
      <w:pPr>
        <w:pStyle w:val="21"/>
        <w:numPr>
          <w:ilvl w:val="0"/>
          <w:numId w:val="44"/>
        </w:numPr>
        <w:jc w:val="both"/>
        <w:rPr>
          <w:sz w:val="24"/>
          <w:szCs w:val="24"/>
        </w:rPr>
      </w:pPr>
      <w:r w:rsidRPr="00FD60CF">
        <w:rPr>
          <w:sz w:val="24"/>
          <w:szCs w:val="24"/>
        </w:rPr>
        <w:t>Щотижневик «Аптека» [Електронний ресурс]. – Режим доступу:</w:t>
      </w:r>
      <w:r w:rsidRPr="00FD60CF">
        <w:rPr>
          <w:sz w:val="24"/>
          <w:szCs w:val="24"/>
        </w:rPr>
        <w:br/>
      </w:r>
      <w:hyperlink r:id="rId82" w:history="1">
        <w:r w:rsidRPr="00FD60CF">
          <w:rPr>
            <w:rStyle w:val="a6"/>
            <w:sz w:val="24"/>
            <w:szCs w:val="24"/>
          </w:rPr>
          <w:t>https://www.apteka.ua/</w:t>
        </w:r>
      </w:hyperlink>
    </w:p>
    <w:p w:rsidR="00FD60CF" w:rsidRPr="00FD60CF" w:rsidRDefault="00FD60CF" w:rsidP="008512F9">
      <w:pPr>
        <w:pStyle w:val="21"/>
        <w:widowControl w:val="0"/>
        <w:numPr>
          <w:ilvl w:val="0"/>
          <w:numId w:val="44"/>
        </w:numPr>
        <w:jc w:val="both"/>
        <w:rPr>
          <w:sz w:val="24"/>
          <w:szCs w:val="24"/>
        </w:rPr>
      </w:pPr>
      <w:r w:rsidRPr="00FD60CF">
        <w:rPr>
          <w:sz w:val="24"/>
          <w:szCs w:val="24"/>
        </w:rPr>
        <w:t xml:space="preserve">Пошукова база ліків [Електронний ресурс]. – Режим доступу: </w:t>
      </w:r>
      <w:hyperlink r:id="rId83" w:history="1">
        <w:r w:rsidRPr="00FD60CF">
          <w:rPr>
            <w:rStyle w:val="a6"/>
            <w:sz w:val="24"/>
            <w:szCs w:val="24"/>
          </w:rPr>
          <w:t>https://tabletki.ua/</w:t>
        </w:r>
      </w:hyperlink>
    </w:p>
    <w:p w:rsidR="00FD60CF" w:rsidRPr="00FD60CF" w:rsidRDefault="00FD60CF" w:rsidP="008512F9">
      <w:pPr>
        <w:pStyle w:val="21"/>
        <w:widowControl w:val="0"/>
        <w:numPr>
          <w:ilvl w:val="0"/>
          <w:numId w:val="44"/>
        </w:numPr>
        <w:jc w:val="both"/>
        <w:rPr>
          <w:sz w:val="24"/>
          <w:szCs w:val="24"/>
        </w:rPr>
      </w:pPr>
      <w:r w:rsidRPr="00FD60CF">
        <w:rPr>
          <w:sz w:val="24"/>
          <w:szCs w:val="24"/>
        </w:rPr>
        <w:t>Пошукова база ліків [Електронний ресурс]. – Режим доступу:</w:t>
      </w:r>
      <w:r w:rsidRPr="00FD60CF">
        <w:rPr>
          <w:sz w:val="24"/>
          <w:szCs w:val="24"/>
        </w:rPr>
        <w:br/>
      </w:r>
      <w:hyperlink r:id="rId84" w:history="1">
        <w:r w:rsidRPr="00FD60CF">
          <w:rPr>
            <w:rStyle w:val="a6"/>
            <w:sz w:val="24"/>
            <w:szCs w:val="24"/>
          </w:rPr>
          <w:t>https://likicontrol.com.ua/</w:t>
        </w:r>
      </w:hyperlink>
    </w:p>
    <w:p w:rsidR="00FD60CF" w:rsidRPr="00FD60CF" w:rsidRDefault="00FD60CF" w:rsidP="008512F9">
      <w:pPr>
        <w:pStyle w:val="21"/>
        <w:widowControl w:val="0"/>
        <w:numPr>
          <w:ilvl w:val="0"/>
          <w:numId w:val="44"/>
        </w:numPr>
        <w:jc w:val="both"/>
        <w:rPr>
          <w:sz w:val="24"/>
          <w:szCs w:val="24"/>
        </w:rPr>
      </w:pPr>
      <w:r w:rsidRPr="00FD60CF">
        <w:rPr>
          <w:sz w:val="24"/>
          <w:szCs w:val="24"/>
        </w:rPr>
        <w:t>Rx.ua —</w:t>
      </w:r>
      <w:hyperlink r:id="rId85" w:history="1">
        <w:r w:rsidRPr="00FD60CF">
          <w:rPr>
            <w:rStyle w:val="a6"/>
            <w:sz w:val="24"/>
            <w:szCs w:val="24"/>
          </w:rPr>
          <w:t>довідник еквівалентності лікарських засобів</w:t>
        </w:r>
      </w:hyperlink>
      <w:r w:rsidRPr="00FD60CF">
        <w:rPr>
          <w:sz w:val="24"/>
          <w:szCs w:val="24"/>
        </w:rPr>
        <w:t xml:space="preserve"> [Електронний ресурс]. – Режим доступу:</w:t>
      </w:r>
      <w:r w:rsidRPr="00FD60CF">
        <w:rPr>
          <w:color w:val="000000"/>
          <w:sz w:val="24"/>
          <w:szCs w:val="24"/>
          <w:shd w:val="clear" w:color="auto" w:fill="FFFFFF"/>
        </w:rPr>
        <w:t> </w:t>
      </w:r>
      <w:hyperlink r:id="rId86" w:history="1">
        <w:r w:rsidRPr="00FD60CF">
          <w:rPr>
            <w:rStyle w:val="a6"/>
            <w:sz w:val="24"/>
            <w:szCs w:val="24"/>
            <w:shd w:val="clear" w:color="auto" w:fill="FFFFFF"/>
          </w:rPr>
          <w:t>https://rx.ua/</w:t>
        </w:r>
      </w:hyperlink>
    </w:p>
    <w:p w:rsidR="00FD60CF" w:rsidRDefault="00FD60CF" w:rsidP="00FD60CF">
      <w:pPr>
        <w:widowControl w:val="0"/>
        <w:jc w:val="both"/>
        <w:rPr>
          <w:rFonts w:eastAsia="Calibri"/>
          <w:bCs/>
          <w:sz w:val="24"/>
          <w:szCs w:val="24"/>
          <w:lang w:val="uk-UA" w:eastAsia="ru-RU"/>
        </w:rPr>
      </w:pPr>
    </w:p>
    <w:p w:rsidR="00FD60CF" w:rsidRDefault="00FD60CF" w:rsidP="00FD60CF">
      <w:pPr>
        <w:widowControl w:val="0"/>
        <w:jc w:val="center"/>
        <w:rPr>
          <w:rFonts w:eastAsia="Calibri"/>
          <w:b/>
          <w:lang w:val="uk-UA" w:eastAsia="ru-RU"/>
        </w:rPr>
      </w:pPr>
    </w:p>
    <w:p w:rsidR="00FD60CF" w:rsidRDefault="00FD60CF" w:rsidP="00FD60CF">
      <w:pPr>
        <w:widowControl w:val="0"/>
        <w:jc w:val="center"/>
        <w:rPr>
          <w:rFonts w:eastAsia="Calibri"/>
          <w:b/>
          <w:lang w:val="uk-UA" w:eastAsia="ru-RU"/>
        </w:rPr>
      </w:pPr>
    </w:p>
    <w:p w:rsidR="0088636D" w:rsidRPr="0088636D" w:rsidRDefault="0088636D" w:rsidP="0088636D">
      <w:pPr>
        <w:suppressAutoHyphens/>
        <w:spacing w:after="0" w:line="240" w:lineRule="auto"/>
        <w:rPr>
          <w:rFonts w:ascii="Times New Roman" w:eastAsia="Times New Roman" w:hAnsi="Times New Roman" w:cs="Times New Roman"/>
          <w:b/>
          <w:sz w:val="24"/>
          <w:szCs w:val="24"/>
          <w:lang w:val="uk-UA" w:eastAsia="ar-SA"/>
        </w:rPr>
      </w:pPr>
    </w:p>
    <w:p w:rsidR="00956B42" w:rsidRPr="0088636D" w:rsidRDefault="0088636D" w:rsidP="00815E17">
      <w:pPr>
        <w:pStyle w:val="a3"/>
        <w:rPr>
          <w:rFonts w:ascii="Times New Roman" w:hAnsi="Times New Roman" w:cs="Times New Roman"/>
          <w:b/>
          <w:sz w:val="24"/>
          <w:szCs w:val="24"/>
          <w:lang w:val="uk-UA"/>
        </w:rPr>
      </w:pPr>
      <w:r w:rsidRPr="0088636D">
        <w:rPr>
          <w:rFonts w:ascii="Times New Roman" w:hAnsi="Times New Roman" w:cs="Times New Roman"/>
          <w:b/>
          <w:sz w:val="24"/>
          <w:szCs w:val="24"/>
          <w:lang w:val="uk-UA"/>
        </w:rPr>
        <w:lastRenderedPageBreak/>
        <w:t>Лекція 5</w:t>
      </w:r>
    </w:p>
    <w:p w:rsidR="0088636D" w:rsidRDefault="0088636D" w:rsidP="00815E17">
      <w:pPr>
        <w:pStyle w:val="a3"/>
        <w:rPr>
          <w:rFonts w:ascii="Times New Roman" w:hAnsi="Times New Roman" w:cs="Times New Roman"/>
          <w:sz w:val="24"/>
          <w:szCs w:val="24"/>
          <w:lang w:val="uk-UA"/>
        </w:rPr>
      </w:pPr>
    </w:p>
    <w:p w:rsidR="0088636D" w:rsidRPr="0088636D" w:rsidRDefault="0088636D" w:rsidP="0088636D">
      <w:pPr>
        <w:rPr>
          <w:rFonts w:ascii="Times New Roman" w:hAnsi="Times New Roman" w:cs="Times New Roman"/>
          <w:sz w:val="24"/>
          <w:szCs w:val="24"/>
          <w:lang w:val="uk-UA"/>
        </w:rPr>
      </w:pPr>
      <w:r w:rsidRPr="0088636D">
        <w:rPr>
          <w:rFonts w:ascii="Times New Roman" w:hAnsi="Times New Roman" w:cs="Times New Roman"/>
          <w:b/>
          <w:bCs/>
          <w:sz w:val="24"/>
          <w:szCs w:val="24"/>
          <w:lang w:val="uk-UA"/>
        </w:rPr>
        <w:t xml:space="preserve">Тема: </w:t>
      </w:r>
      <w:r w:rsidRPr="0088636D">
        <w:rPr>
          <w:rFonts w:ascii="Times New Roman" w:hAnsi="Times New Roman" w:cs="Times New Roman"/>
          <w:sz w:val="24"/>
          <w:szCs w:val="24"/>
          <w:lang w:val="uk-UA"/>
        </w:rPr>
        <w:t xml:space="preserve"> </w:t>
      </w:r>
      <w:r w:rsidRPr="0088636D">
        <w:rPr>
          <w:rFonts w:ascii="Times New Roman" w:hAnsi="Times New Roman" w:cs="Times New Roman"/>
          <w:color w:val="0D0D0D"/>
          <w:sz w:val="24"/>
          <w:szCs w:val="24"/>
          <w:lang w:val="uk-UA"/>
        </w:rPr>
        <w:t>З</w:t>
      </w:r>
      <w:r w:rsidRPr="0088636D">
        <w:rPr>
          <w:rFonts w:ascii="Times New Roman" w:hAnsi="Times New Roman" w:cs="Times New Roman"/>
          <w:sz w:val="24"/>
          <w:szCs w:val="24"/>
          <w:lang w:val="uk-UA"/>
        </w:rPr>
        <w:t>абезпечення доступності ЛЗ  при наданні фармацевтичної допомоги окремим категоріям хворих</w:t>
      </w:r>
    </w:p>
    <w:p w:rsidR="0088636D" w:rsidRPr="0088636D" w:rsidRDefault="0088636D" w:rsidP="0088636D">
      <w:pPr>
        <w:jc w:val="both"/>
        <w:rPr>
          <w:rFonts w:ascii="Times New Roman" w:hAnsi="Times New Roman" w:cs="Times New Roman"/>
          <w:b/>
          <w:sz w:val="24"/>
          <w:szCs w:val="24"/>
          <w:lang w:val="uk-UA"/>
        </w:rPr>
      </w:pPr>
    </w:p>
    <w:p w:rsidR="0088636D" w:rsidRPr="0088636D" w:rsidRDefault="0088636D" w:rsidP="0088636D">
      <w:pPr>
        <w:pStyle w:val="a7"/>
        <w:shd w:val="clear" w:color="auto" w:fill="FFFFFF"/>
        <w:spacing w:before="0" w:beforeAutospacing="0" w:after="0" w:afterAutospacing="0"/>
        <w:jc w:val="both"/>
      </w:pPr>
      <w:r w:rsidRPr="0088636D">
        <w:rPr>
          <w:b/>
          <w:lang w:val="uk-UA"/>
        </w:rPr>
        <w:t xml:space="preserve">Актуальність теми: </w:t>
      </w:r>
      <w:r w:rsidRPr="0088636D">
        <w:t>За визначенням Всесвітньої організації охорони здоров’я (ВООЗ), доступність лікарських засобів - основний фактор, який визначає доступність системи охорони здоров’я для пацієнта. Відповідно до ст. 35 Закону «Основи законодавства України про охорону здоров’я», надання первинної медичної допомоги передбачає просту діагностику і лікування основних поширених захворювань, травм, отруєнь, профілактичні заходи тощо. Первинна лікувально-профілактична допомога подається переважно за територіальною ознакою сімейними лікарями або іншими лікарями загальної практики. Спеціалізована (вторинна) лікувально-профілактична допомога подається лікарями, які мають відповідну спеціалізацію і можуть забезпечити більш кваліфіковане консультування, діагностику, профілактику і лікування, ніж лікарі загальної практики”. Таким чином, основна маса населення користується первинною та вторинною медичною допомогою у основі якої є фармакотерапія, доступність і ефективність якої залежать від:</w:t>
      </w:r>
    </w:p>
    <w:p w:rsidR="0088636D" w:rsidRPr="0088636D" w:rsidRDefault="0088636D" w:rsidP="008512F9">
      <w:pPr>
        <w:numPr>
          <w:ilvl w:val="0"/>
          <w:numId w:val="14"/>
        </w:numPr>
        <w:suppressAutoHyphens/>
        <w:spacing w:after="0" w:line="240" w:lineRule="auto"/>
        <w:rPr>
          <w:rFonts w:ascii="Times New Roman" w:hAnsi="Times New Roman" w:cs="Times New Roman"/>
          <w:sz w:val="24"/>
          <w:szCs w:val="24"/>
        </w:rPr>
      </w:pPr>
      <w:r w:rsidRPr="0088636D">
        <w:rPr>
          <w:rFonts w:ascii="Times New Roman" w:hAnsi="Times New Roman" w:cs="Times New Roman"/>
          <w:sz w:val="24"/>
          <w:szCs w:val="24"/>
        </w:rPr>
        <w:t>від доступності ліків, які призначаються;</w:t>
      </w:r>
    </w:p>
    <w:p w:rsidR="0088636D" w:rsidRPr="0088636D" w:rsidRDefault="0088636D" w:rsidP="008512F9">
      <w:pPr>
        <w:numPr>
          <w:ilvl w:val="0"/>
          <w:numId w:val="14"/>
        </w:numPr>
        <w:suppressAutoHyphens/>
        <w:spacing w:after="0" w:line="240" w:lineRule="auto"/>
        <w:rPr>
          <w:rFonts w:ascii="Times New Roman" w:hAnsi="Times New Roman" w:cs="Times New Roman"/>
          <w:sz w:val="24"/>
          <w:szCs w:val="24"/>
        </w:rPr>
      </w:pPr>
      <w:r w:rsidRPr="0088636D">
        <w:rPr>
          <w:rFonts w:ascii="Times New Roman" w:hAnsi="Times New Roman" w:cs="Times New Roman"/>
          <w:sz w:val="24"/>
          <w:szCs w:val="24"/>
        </w:rPr>
        <w:t>дій лікаря у плані скільки і яких він їх буде призначати, включаючи кількість біологічно активних домішок (БАД), які взагалі не є ліками;</w:t>
      </w:r>
    </w:p>
    <w:p w:rsidR="0088636D" w:rsidRPr="0088636D" w:rsidRDefault="0088636D" w:rsidP="008512F9">
      <w:pPr>
        <w:numPr>
          <w:ilvl w:val="0"/>
          <w:numId w:val="14"/>
        </w:numPr>
        <w:suppressAutoHyphens/>
        <w:spacing w:after="0" w:line="240" w:lineRule="auto"/>
        <w:rPr>
          <w:rFonts w:ascii="Times New Roman" w:hAnsi="Times New Roman" w:cs="Times New Roman"/>
          <w:sz w:val="24"/>
          <w:szCs w:val="24"/>
        </w:rPr>
      </w:pPr>
      <w:r w:rsidRPr="0088636D">
        <w:rPr>
          <w:rFonts w:ascii="Times New Roman" w:hAnsi="Times New Roman" w:cs="Times New Roman"/>
          <w:sz w:val="24"/>
          <w:szCs w:val="24"/>
        </w:rPr>
        <w:t>рівня фармацевтичних послуг аптечних закладів, які відверто перетворилися у звичайні крамниці і просто монопольно торгують ліками за правилами, які притаманні саме для торгівлі будь яким товаром;</w:t>
      </w:r>
    </w:p>
    <w:p w:rsidR="0088636D" w:rsidRPr="0088636D" w:rsidRDefault="0088636D" w:rsidP="008512F9">
      <w:pPr>
        <w:numPr>
          <w:ilvl w:val="0"/>
          <w:numId w:val="14"/>
        </w:numPr>
        <w:suppressAutoHyphens/>
        <w:spacing w:after="0" w:line="240" w:lineRule="auto"/>
        <w:rPr>
          <w:rFonts w:ascii="Times New Roman" w:hAnsi="Times New Roman" w:cs="Times New Roman"/>
          <w:sz w:val="24"/>
          <w:szCs w:val="24"/>
        </w:rPr>
      </w:pPr>
      <w:r w:rsidRPr="0088636D">
        <w:rPr>
          <w:rFonts w:ascii="Times New Roman" w:hAnsi="Times New Roman" w:cs="Times New Roman"/>
          <w:sz w:val="24"/>
          <w:szCs w:val="24"/>
        </w:rPr>
        <w:t>дій самого пацієнта (як він виконує призначення лікаря, ступіні самолікування, рівня та культури його життя, тощо).</w:t>
      </w:r>
    </w:p>
    <w:p w:rsidR="0088636D" w:rsidRPr="0088636D" w:rsidRDefault="0088636D" w:rsidP="0088636D">
      <w:pPr>
        <w:pStyle w:val="a7"/>
        <w:shd w:val="clear" w:color="auto" w:fill="FFFFFF"/>
        <w:spacing w:before="0" w:beforeAutospacing="0" w:after="0" w:afterAutospacing="0"/>
        <w:jc w:val="both"/>
        <w:rPr>
          <w:b/>
          <w:lang w:val="uk-UA"/>
        </w:rPr>
      </w:pPr>
      <w:r w:rsidRPr="0088636D">
        <w:rPr>
          <w:b/>
          <w:lang w:val="uk-UA"/>
        </w:rPr>
        <w:t xml:space="preserve"> </w:t>
      </w: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b/>
          <w:sz w:val="24"/>
          <w:szCs w:val="24"/>
          <w:lang w:val="uk-UA"/>
        </w:rPr>
        <w:t>Мета</w:t>
      </w:r>
      <w:r w:rsidRPr="0088636D">
        <w:rPr>
          <w:rFonts w:ascii="Times New Roman" w:hAnsi="Times New Roman" w:cs="Times New Roman"/>
          <w:sz w:val="24"/>
          <w:szCs w:val="24"/>
          <w:lang w:val="uk-UA"/>
        </w:rPr>
        <w:t>:   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88636D" w:rsidRPr="0088636D" w:rsidRDefault="0088636D" w:rsidP="0088636D">
      <w:pPr>
        <w:jc w:val="both"/>
        <w:rPr>
          <w:rFonts w:ascii="Times New Roman" w:hAnsi="Times New Roman" w:cs="Times New Roman"/>
          <w:sz w:val="24"/>
          <w:szCs w:val="24"/>
          <w:lang w:val="uk-UA"/>
        </w:rPr>
      </w:pPr>
    </w:p>
    <w:p w:rsidR="0088636D" w:rsidRPr="0088636D" w:rsidRDefault="0088636D" w:rsidP="0088636D">
      <w:pPr>
        <w:pStyle w:val="a7"/>
        <w:shd w:val="clear" w:color="auto" w:fill="FFFFFF"/>
        <w:spacing w:before="0" w:beforeAutospacing="0" w:after="0" w:afterAutospacing="0"/>
        <w:jc w:val="both"/>
        <w:rPr>
          <w:bCs/>
          <w:iCs/>
          <w:lang w:val="uk-UA"/>
        </w:rPr>
      </w:pPr>
      <w:r w:rsidRPr="0088636D">
        <w:rPr>
          <w:b/>
          <w:lang w:val="uk-UA"/>
        </w:rPr>
        <w:t xml:space="preserve">Основні поняття: </w:t>
      </w:r>
      <w:r w:rsidRPr="0088636D">
        <w:rPr>
          <w:lang w:val="uk-UA"/>
        </w:rPr>
        <w:t>соціальна фармація</w:t>
      </w:r>
      <w:r w:rsidRPr="0088636D">
        <w:rPr>
          <w:b/>
          <w:lang w:val="uk-UA"/>
        </w:rPr>
        <w:t xml:space="preserve">; </w:t>
      </w:r>
      <w:r w:rsidRPr="0088636D">
        <w:rPr>
          <w:rFonts w:eastAsia="Calibri"/>
          <w:lang w:val="uk-UA" w:eastAsia="en-US"/>
        </w:rPr>
        <w:t>система охорони здоров'я; доступність фармацевтичної допомоги; реімбурсація; референтна ціна</w:t>
      </w:r>
    </w:p>
    <w:p w:rsidR="0088636D" w:rsidRPr="0088636D" w:rsidRDefault="0088636D" w:rsidP="0088636D">
      <w:pPr>
        <w:ind w:left="720"/>
        <w:jc w:val="both"/>
        <w:rPr>
          <w:rFonts w:ascii="Times New Roman" w:hAnsi="Times New Roman" w:cs="Times New Roman"/>
          <w:bCs/>
          <w:iCs/>
          <w:sz w:val="24"/>
          <w:szCs w:val="24"/>
          <w:lang w:val="uk-UA"/>
        </w:rPr>
      </w:pPr>
    </w:p>
    <w:p w:rsidR="0088636D" w:rsidRPr="0088636D" w:rsidRDefault="0088636D" w:rsidP="0088636D">
      <w:pPr>
        <w:rPr>
          <w:rFonts w:ascii="Times New Roman" w:hAnsi="Times New Roman" w:cs="Times New Roman"/>
          <w:b/>
          <w:sz w:val="24"/>
          <w:szCs w:val="24"/>
          <w:lang w:val="uk-UA"/>
        </w:rPr>
      </w:pPr>
      <w:r w:rsidRPr="0088636D">
        <w:rPr>
          <w:rFonts w:ascii="Times New Roman" w:hAnsi="Times New Roman" w:cs="Times New Roman"/>
          <w:b/>
          <w:sz w:val="24"/>
          <w:szCs w:val="24"/>
          <w:lang w:val="uk-UA"/>
        </w:rPr>
        <w:t>План та організаційна структура лекції.</w:t>
      </w:r>
    </w:p>
    <w:tbl>
      <w:tblPr>
        <w:tblW w:w="0" w:type="auto"/>
        <w:tblInd w:w="-5" w:type="dxa"/>
        <w:tblLayout w:type="fixed"/>
        <w:tblLook w:val="0000" w:firstRow="0" w:lastRow="0" w:firstColumn="0" w:lastColumn="0" w:noHBand="0" w:noVBand="0"/>
      </w:tblPr>
      <w:tblGrid>
        <w:gridCol w:w="827"/>
        <w:gridCol w:w="4531"/>
        <w:gridCol w:w="1559"/>
        <w:gridCol w:w="1701"/>
        <w:gridCol w:w="1276"/>
      </w:tblGrid>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w:t>
            </w:r>
          </w:p>
          <w:p w:rsidR="0088636D" w:rsidRPr="0088636D" w:rsidRDefault="0088636D" w:rsidP="00956B42">
            <w:pPr>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п.п.</w:t>
            </w:r>
          </w:p>
        </w:tc>
        <w:tc>
          <w:tcPr>
            <w:tcW w:w="4531"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Основні  етапи лекції та їх зміст</w:t>
            </w:r>
          </w:p>
        </w:tc>
        <w:tc>
          <w:tcPr>
            <w:tcW w:w="1559"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Цілі у ступенях абстракції</w:t>
            </w:r>
          </w:p>
        </w:tc>
        <w:tc>
          <w:tcPr>
            <w:tcW w:w="1701"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Тип лекції. Обладнання лекції.</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956B42">
            <w:pPr>
              <w:snapToGrid w:val="0"/>
              <w:jc w:val="center"/>
              <w:rPr>
                <w:rFonts w:ascii="Times New Roman" w:hAnsi="Times New Roman" w:cs="Times New Roman"/>
                <w:b/>
                <w:sz w:val="24"/>
                <w:szCs w:val="24"/>
                <w:lang w:val="uk-UA"/>
              </w:rPr>
            </w:pPr>
            <w:r w:rsidRPr="0088636D">
              <w:rPr>
                <w:rFonts w:ascii="Times New Roman" w:hAnsi="Times New Roman" w:cs="Times New Roman"/>
                <w:b/>
                <w:sz w:val="24"/>
                <w:szCs w:val="24"/>
                <w:lang w:val="uk-UA"/>
              </w:rPr>
              <w:t>Розподіл часу</w:t>
            </w:r>
          </w:p>
        </w:tc>
      </w:tr>
      <w:tr w:rsidR="0088636D" w:rsidRPr="0088636D" w:rsidTr="00956B42">
        <w:tc>
          <w:tcPr>
            <w:tcW w:w="827" w:type="dxa"/>
            <w:tcBorders>
              <w:top w:val="single" w:sz="4" w:space="0" w:color="000000"/>
              <w:left w:val="single" w:sz="4" w:space="0" w:color="000000"/>
              <w:bottom w:val="single" w:sz="4" w:space="0" w:color="000000"/>
            </w:tcBorders>
          </w:tcPr>
          <w:p w:rsidR="0088636D" w:rsidRPr="0088636D" w:rsidRDefault="0088636D" w:rsidP="00956B42">
            <w:pPr>
              <w:snapToGrid w:val="0"/>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1.</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2.</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 xml:space="preserve">    ІІ.</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3.</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ІІІ.</w:t>
            </w: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4.</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5.</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    6.</w:t>
            </w:r>
          </w:p>
        </w:tc>
        <w:tc>
          <w:tcPr>
            <w:tcW w:w="4531" w:type="dxa"/>
            <w:tcBorders>
              <w:top w:val="single" w:sz="4" w:space="0" w:color="000000"/>
              <w:left w:val="single" w:sz="4" w:space="0" w:color="000000"/>
              <w:bottom w:val="single" w:sz="4" w:space="0" w:color="000000"/>
            </w:tcBorders>
          </w:tcPr>
          <w:p w:rsidR="0088636D" w:rsidRPr="0088636D" w:rsidRDefault="0088636D" w:rsidP="00956B42">
            <w:pPr>
              <w:snapToGrid w:val="0"/>
              <w:rPr>
                <w:rFonts w:ascii="Times New Roman" w:hAnsi="Times New Roman" w:cs="Times New Roman"/>
                <w:i/>
                <w:sz w:val="24"/>
                <w:szCs w:val="24"/>
                <w:lang w:val="uk-UA"/>
              </w:rPr>
            </w:pPr>
            <w:r w:rsidRPr="0088636D">
              <w:rPr>
                <w:rFonts w:ascii="Times New Roman" w:hAnsi="Times New Roman" w:cs="Times New Roman"/>
                <w:i/>
                <w:sz w:val="24"/>
                <w:szCs w:val="24"/>
                <w:lang w:val="uk-UA"/>
              </w:rPr>
              <w:lastRenderedPageBreak/>
              <w:t>Підготовчий етап.</w:t>
            </w:r>
          </w:p>
          <w:p w:rsidR="0088636D" w:rsidRPr="0088636D" w:rsidRDefault="0088636D" w:rsidP="00956B42">
            <w:pPr>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Визначення навчальної мети.</w:t>
            </w:r>
          </w:p>
          <w:p w:rsidR="0088636D" w:rsidRPr="0088636D" w:rsidRDefault="0088636D" w:rsidP="00956B42">
            <w:pPr>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Забезпечення позитивної мотивації.</w:t>
            </w:r>
          </w:p>
          <w:p w:rsidR="0088636D" w:rsidRPr="0088636D" w:rsidRDefault="0088636D" w:rsidP="00956B42">
            <w:pPr>
              <w:rPr>
                <w:rFonts w:ascii="Times New Roman" w:hAnsi="Times New Roman" w:cs="Times New Roman"/>
                <w:i/>
                <w:sz w:val="24"/>
                <w:szCs w:val="24"/>
                <w:lang w:val="uk-UA"/>
              </w:rPr>
            </w:pPr>
            <w:r w:rsidRPr="0088636D">
              <w:rPr>
                <w:rFonts w:ascii="Times New Roman" w:hAnsi="Times New Roman" w:cs="Times New Roman"/>
                <w:i/>
                <w:sz w:val="24"/>
                <w:szCs w:val="24"/>
                <w:lang w:val="uk-UA"/>
              </w:rPr>
              <w:t>Основний етап.</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Викладення лекційного матеріалу за </w:t>
            </w:r>
            <w:r w:rsidRPr="0088636D">
              <w:rPr>
                <w:rFonts w:ascii="Times New Roman" w:hAnsi="Times New Roman" w:cs="Times New Roman"/>
                <w:sz w:val="24"/>
                <w:szCs w:val="24"/>
                <w:lang w:val="uk-UA"/>
              </w:rPr>
              <w:lastRenderedPageBreak/>
              <w:t>планом:</w:t>
            </w:r>
          </w:p>
          <w:p w:rsidR="0088636D" w:rsidRPr="0088636D" w:rsidRDefault="0088636D" w:rsidP="008512F9">
            <w:pPr>
              <w:numPr>
                <w:ilvl w:val="0"/>
                <w:numId w:val="9"/>
              </w:numPr>
              <w:suppressAutoHyphens/>
              <w:spacing w:after="0" w:line="240" w:lineRule="auto"/>
              <w:ind w:left="29" w:firstLine="331"/>
              <w:rPr>
                <w:rFonts w:ascii="Times New Roman" w:hAnsi="Times New Roman" w:cs="Times New Roman"/>
                <w:i/>
                <w:sz w:val="24"/>
                <w:szCs w:val="24"/>
                <w:lang w:val="uk-UA"/>
              </w:rPr>
            </w:pPr>
            <w:r w:rsidRPr="0088636D">
              <w:rPr>
                <w:rFonts w:ascii="Times New Roman" w:hAnsi="Times New Roman" w:cs="Times New Roman"/>
                <w:sz w:val="24"/>
                <w:szCs w:val="24"/>
                <w:lang w:val="uk-UA"/>
              </w:rPr>
              <w:t xml:space="preserve"> Доступність фармацевтичної допомоги</w:t>
            </w:r>
            <w:r w:rsidRPr="0088636D">
              <w:rPr>
                <w:rFonts w:ascii="Times New Roman" w:hAnsi="Times New Roman" w:cs="Times New Roman"/>
                <w:sz w:val="24"/>
                <w:szCs w:val="24"/>
              </w:rPr>
              <w:t> </w:t>
            </w:r>
          </w:p>
          <w:p w:rsidR="0088636D" w:rsidRPr="0088636D" w:rsidRDefault="0088636D" w:rsidP="008512F9">
            <w:pPr>
              <w:numPr>
                <w:ilvl w:val="0"/>
                <w:numId w:val="9"/>
              </w:numPr>
              <w:suppressAutoHyphens/>
              <w:spacing w:after="0" w:line="240" w:lineRule="auto"/>
              <w:ind w:left="29" w:firstLine="331"/>
              <w:rPr>
                <w:rFonts w:ascii="Times New Roman" w:hAnsi="Times New Roman" w:cs="Times New Roman"/>
                <w:i/>
                <w:sz w:val="24"/>
                <w:szCs w:val="24"/>
                <w:lang w:val="uk-UA"/>
              </w:rPr>
            </w:pPr>
            <w:r w:rsidRPr="0088636D">
              <w:rPr>
                <w:rFonts w:ascii="Times New Roman" w:hAnsi="Times New Roman" w:cs="Times New Roman"/>
                <w:sz w:val="24"/>
                <w:szCs w:val="24"/>
                <w:lang w:val="uk-UA"/>
              </w:rPr>
              <w:t>Референтне ціноутворення на лікарські засоби в Україні</w:t>
            </w:r>
          </w:p>
          <w:p w:rsidR="0088636D" w:rsidRPr="0088636D" w:rsidRDefault="0088636D" w:rsidP="008512F9">
            <w:pPr>
              <w:numPr>
                <w:ilvl w:val="0"/>
                <w:numId w:val="9"/>
              </w:numPr>
              <w:suppressAutoHyphens/>
              <w:spacing w:after="0" w:line="240" w:lineRule="auto"/>
              <w:ind w:left="29" w:firstLine="331"/>
              <w:rPr>
                <w:rFonts w:ascii="Times New Roman" w:hAnsi="Times New Roman" w:cs="Times New Roman"/>
                <w:i/>
                <w:sz w:val="24"/>
                <w:szCs w:val="24"/>
                <w:lang w:val="uk-UA"/>
              </w:rPr>
            </w:pPr>
            <w:r w:rsidRPr="0088636D">
              <w:rPr>
                <w:rFonts w:ascii="Times New Roman" w:hAnsi="Times New Roman" w:cs="Times New Roman"/>
                <w:sz w:val="24"/>
                <w:szCs w:val="24"/>
                <w:lang w:val="uk-UA"/>
              </w:rPr>
              <w:t>Урядова програма «Доступні ліки»</w:t>
            </w:r>
          </w:p>
          <w:p w:rsidR="0088636D" w:rsidRPr="0088636D" w:rsidRDefault="0088636D" w:rsidP="00956B42">
            <w:pPr>
              <w:rPr>
                <w:rFonts w:ascii="Times New Roman" w:hAnsi="Times New Roman" w:cs="Times New Roman"/>
                <w:i/>
                <w:sz w:val="24"/>
                <w:szCs w:val="24"/>
                <w:lang w:val="uk-UA"/>
              </w:rPr>
            </w:pPr>
            <w:r w:rsidRPr="0088636D">
              <w:rPr>
                <w:rFonts w:ascii="Times New Roman" w:hAnsi="Times New Roman" w:cs="Times New Roman"/>
                <w:i/>
                <w:sz w:val="24"/>
                <w:szCs w:val="24"/>
                <w:lang w:val="uk-UA"/>
              </w:rPr>
              <w:t>Заключний етап.</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Резюме лекції. Загальні висновки.</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Відповідь лектора на можливі запитання.</w:t>
            </w: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Завдання для самопідготовки.</w:t>
            </w:r>
          </w:p>
        </w:tc>
        <w:tc>
          <w:tcPr>
            <w:tcW w:w="1559" w:type="dxa"/>
            <w:tcBorders>
              <w:top w:val="single" w:sz="4" w:space="0" w:color="000000"/>
              <w:left w:val="single" w:sz="4" w:space="0" w:color="000000"/>
              <w:bottom w:val="single" w:sz="4" w:space="0" w:color="000000"/>
            </w:tcBorders>
          </w:tcPr>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 xml:space="preserve">         I</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П</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Ш</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ІУ</w:t>
            </w: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tc>
        <w:tc>
          <w:tcPr>
            <w:tcW w:w="1701" w:type="dxa"/>
            <w:tcBorders>
              <w:top w:val="single" w:sz="4" w:space="0" w:color="000000"/>
              <w:left w:val="single" w:sz="4" w:space="0" w:color="000000"/>
              <w:bottom w:val="single" w:sz="4" w:space="0" w:color="000000"/>
            </w:tcBorders>
          </w:tcPr>
          <w:p w:rsidR="0088636D" w:rsidRPr="0088636D" w:rsidRDefault="0088636D" w:rsidP="00956B42">
            <w:pPr>
              <w:snapToGrid w:val="0"/>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Проєктор </w:t>
            </w: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Список літератури, питання, завдання.</w:t>
            </w:r>
          </w:p>
        </w:tc>
        <w:tc>
          <w:tcPr>
            <w:tcW w:w="1276" w:type="dxa"/>
            <w:tcBorders>
              <w:top w:val="single" w:sz="4" w:space="0" w:color="000000"/>
              <w:left w:val="single" w:sz="4" w:space="0" w:color="000000"/>
              <w:bottom w:val="single" w:sz="4" w:space="0" w:color="000000"/>
              <w:right w:val="single" w:sz="4" w:space="0" w:color="000000"/>
            </w:tcBorders>
          </w:tcPr>
          <w:p w:rsidR="0088636D" w:rsidRPr="0088636D" w:rsidRDefault="0088636D" w:rsidP="00956B42">
            <w:pPr>
              <w:snapToGrid w:val="0"/>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5%</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85 – 90%</w:t>
            </w: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jc w:val="cente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p>
          <w:p w:rsidR="0088636D" w:rsidRPr="0088636D" w:rsidRDefault="0088636D" w:rsidP="00956B42">
            <w:pPr>
              <w:rPr>
                <w:rFonts w:ascii="Times New Roman" w:hAnsi="Times New Roman" w:cs="Times New Roman"/>
                <w:sz w:val="24"/>
                <w:szCs w:val="24"/>
                <w:lang w:val="uk-UA"/>
              </w:rPr>
            </w:pPr>
            <w:r w:rsidRPr="0088636D">
              <w:rPr>
                <w:rFonts w:ascii="Times New Roman" w:hAnsi="Times New Roman" w:cs="Times New Roman"/>
                <w:sz w:val="24"/>
                <w:szCs w:val="24"/>
                <w:lang w:val="uk-UA"/>
              </w:rPr>
              <w:t>5%</w:t>
            </w:r>
          </w:p>
        </w:tc>
      </w:tr>
    </w:tbl>
    <w:p w:rsidR="0088636D" w:rsidRPr="0088636D" w:rsidRDefault="0088636D" w:rsidP="0088636D">
      <w:pPr>
        <w:rPr>
          <w:rFonts w:ascii="Times New Roman" w:hAnsi="Times New Roman" w:cs="Times New Roman"/>
          <w:sz w:val="24"/>
          <w:szCs w:val="24"/>
          <w:lang w:val="uk-UA"/>
        </w:rPr>
      </w:pPr>
    </w:p>
    <w:p w:rsidR="0088636D" w:rsidRPr="0088636D" w:rsidRDefault="0088636D" w:rsidP="0088636D">
      <w:pPr>
        <w:rPr>
          <w:rFonts w:ascii="Times New Roman" w:hAnsi="Times New Roman" w:cs="Times New Roman"/>
          <w:b/>
          <w:bCs/>
          <w:iCs/>
          <w:sz w:val="24"/>
          <w:szCs w:val="24"/>
          <w:lang w:val="uk-UA"/>
        </w:rPr>
      </w:pPr>
      <w:r w:rsidRPr="0088636D">
        <w:rPr>
          <w:rFonts w:ascii="Times New Roman" w:hAnsi="Times New Roman" w:cs="Times New Roman"/>
          <w:b/>
          <w:bCs/>
          <w:iCs/>
          <w:sz w:val="24"/>
          <w:szCs w:val="24"/>
          <w:lang w:val="uk-UA"/>
        </w:rPr>
        <w:t>Зміст лекційного матеріалу (текст лекцій)</w:t>
      </w:r>
    </w:p>
    <w:p w:rsidR="0088636D" w:rsidRPr="0088636D" w:rsidRDefault="0088636D" w:rsidP="008512F9">
      <w:pPr>
        <w:numPr>
          <w:ilvl w:val="0"/>
          <w:numId w:val="15"/>
        </w:numPr>
        <w:suppressAutoHyphens/>
        <w:spacing w:after="0" w:line="240" w:lineRule="auto"/>
        <w:jc w:val="both"/>
        <w:rPr>
          <w:rFonts w:ascii="Times New Roman" w:hAnsi="Times New Roman" w:cs="Times New Roman"/>
          <w:b/>
          <w:bCs/>
          <w:i/>
          <w:iCs/>
          <w:sz w:val="24"/>
          <w:szCs w:val="24"/>
          <w:lang w:val="uk-UA"/>
        </w:rPr>
      </w:pPr>
      <w:r w:rsidRPr="0088636D">
        <w:rPr>
          <w:rFonts w:ascii="Times New Roman" w:hAnsi="Times New Roman" w:cs="Times New Roman"/>
          <w:i/>
          <w:sz w:val="24"/>
          <w:szCs w:val="24"/>
          <w:lang w:val="uk-UA"/>
        </w:rPr>
        <w:t>Доступність фармацевтичної допомоги</w:t>
      </w:r>
      <w:r w:rsidRPr="0088636D">
        <w:rPr>
          <w:rFonts w:ascii="Times New Roman" w:hAnsi="Times New Roman" w:cs="Times New Roman"/>
          <w:i/>
          <w:sz w:val="24"/>
          <w:szCs w:val="24"/>
        </w:rPr>
        <w:t> </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Доступність фармацевтичної допомоги</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(Д.ф.д.) — один із найважливіших соціально-економічних показників розвитку системи охорони здоров’я, який характеризує стан урегулювання нормативного та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організаційного забезпечення можливості отримання кваліфікаційної фармацевтичної допомоги. Відповідно до</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рекомендацій ВООЗ щодо формування Національної фармацевтичної (лікарської) політики Д.ф.д. розглядають як глобальну мету розвитку галузі. Д.ф.д. передбачає дві складові</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фізичну та соціально-економічну.</w:t>
      </w:r>
    </w:p>
    <w:p w:rsidR="0088636D" w:rsidRPr="0088636D" w:rsidRDefault="0088636D" w:rsidP="0088636D">
      <w:pPr>
        <w:ind w:firstLine="708"/>
        <w:jc w:val="both"/>
        <w:rPr>
          <w:rFonts w:ascii="Times New Roman" w:hAnsi="Times New Roman" w:cs="Times New Roman"/>
          <w:sz w:val="24"/>
          <w:szCs w:val="24"/>
        </w:rPr>
      </w:pPr>
      <w:r w:rsidRPr="0088636D">
        <w:rPr>
          <w:rFonts w:ascii="Times New Roman" w:hAnsi="Times New Roman" w:cs="Times New Roman"/>
          <w:sz w:val="24"/>
          <w:szCs w:val="24"/>
          <w:lang w:val="uk-UA"/>
        </w:rPr>
        <w:t>Фізична складова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Д.ф.д. визначає пропозицію населенню якісних ліків у</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потрібній кількості й асортименті, що реалізується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допомогою власного виробництва ЛП, їх імпорту та системи реалізації насамперед через аптечну мережу. Важливим критерієм забезпечення цього виду Д.ф.д. є законодавчо затверджені географічні (встановлення норм пішохідної доступності між аптеками) та демографічні (встановлення нормативу кількості жителів, що повинна обслуговувати одна аптека) норми розміщення закладів охорони здоров’я, що проводять роздрібну реалізацію </w:t>
      </w:r>
      <w:r w:rsidRPr="0088636D">
        <w:rPr>
          <w:rFonts w:ascii="Times New Roman" w:hAnsi="Times New Roman" w:cs="Times New Roman"/>
          <w:sz w:val="24"/>
          <w:szCs w:val="24"/>
        </w:rPr>
        <w:t>ЛП населенню. Такі норми спрямовані на регулювання загальної чисельності аптек та раціональності їх розміщення. У середньому по Україні одна аптека разом з аптечним пунктом обслуговує 2,2 тис. осіб, що в цілому відповідає європейським показникам.</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Соціально-економічна складова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Д.ф.д. визначається купівельною спроможністю пацієнта й ефективним використанням наявних фінансових ресурсів держави і містить систему формування попиту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ЛП (асортимент, якість і кількість ліків, необхідних для</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охорони здоров’я населення); вартість ліків і</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чинники, що впливають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ціну (політику формування цін, </w:t>
      </w:r>
      <w:r w:rsidRPr="0088636D">
        <w:rPr>
          <w:rFonts w:ascii="Times New Roman" w:hAnsi="Times New Roman" w:cs="Times New Roman"/>
          <w:sz w:val="24"/>
          <w:szCs w:val="24"/>
          <w:lang w:val="uk-UA"/>
        </w:rPr>
        <w:lastRenderedPageBreak/>
        <w:t>створення конкурентного середовища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фармацевтичному ринку); цілеспрямований відбір, раціональне призначення й застосування ЛП (створення та впровадження протоколів і</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стандартів лікування, формулярної системи); систему державної компенсації витрат пацієнта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ЛП. Соціально-економічна Д.ф.д. частково забезпечується регуляторним впливом держави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процес обігу ЛП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ринку, державною митною та податковою політикою, обмеженнями торговельних надбавок та, безумовно, ринковими засадами функціонування ринку.</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У</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світовій практиці соціально-економічна Д.ф.д. визначається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допомогою показника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«середньостатистичне споживання ЛП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душу населення», який розраховують для різних країн і регіонів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певний період (місяць, квартал, рік), з</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урахуванням макрофінансових показників у</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країні, зокрема курсу та купівельної спроможності національної валюти.</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Україні соціально-економічна Д.ф.д. враховує рівень доходів громадян і визначається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такими показниками: показником доступності амбулаторної фармацевтичної допомоги, показником адекватності соціального захисту, показником адекватності бюджетного фінансування.</w:t>
      </w:r>
    </w:p>
    <w:p w:rsidR="0088636D" w:rsidRPr="0088636D" w:rsidRDefault="0088636D" w:rsidP="0088636D">
      <w:pPr>
        <w:ind w:firstLine="708"/>
        <w:jc w:val="both"/>
        <w:rPr>
          <w:rFonts w:ascii="Times New Roman" w:hAnsi="Times New Roman" w:cs="Times New Roman"/>
          <w:sz w:val="24"/>
          <w:szCs w:val="24"/>
        </w:rPr>
      </w:pPr>
      <w:r w:rsidRPr="0088636D">
        <w:rPr>
          <w:rFonts w:ascii="Times New Roman" w:hAnsi="Times New Roman" w:cs="Times New Roman"/>
          <w:sz w:val="24"/>
          <w:szCs w:val="24"/>
        </w:rPr>
        <w:t>Показник доступності амбулаторної фармацевтичної допомоги (Da) характеризує доступність основних ЛП, придбаних за кошти населення, яке працює, за формулою:</w:t>
      </w:r>
    </w:p>
    <w:p w:rsidR="0088636D" w:rsidRPr="0088636D" w:rsidRDefault="0088636D" w:rsidP="0088636D">
      <w:pPr>
        <w:jc w:val="center"/>
        <w:rPr>
          <w:rFonts w:ascii="Times New Roman" w:hAnsi="Times New Roman" w:cs="Times New Roman"/>
          <w:sz w:val="24"/>
          <w:szCs w:val="24"/>
        </w:rPr>
      </w:pPr>
      <w:r w:rsidRPr="0088636D">
        <w:rPr>
          <w:rFonts w:ascii="Times New Roman" w:hAnsi="Times New Roman" w:cs="Times New Roman"/>
          <w:noProof/>
          <w:sz w:val="24"/>
          <w:szCs w:val="24"/>
          <w:lang w:val="uk-UA" w:eastAsia="uk-UA"/>
        </w:rPr>
        <w:drawing>
          <wp:inline distT="0" distB="0" distL="0" distR="0" wp14:anchorId="317D81A9" wp14:editId="36E3FAF3">
            <wp:extent cx="2230120" cy="609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230120" cy="609600"/>
                    </a:xfrm>
                    <a:prstGeom prst="rect">
                      <a:avLst/>
                    </a:prstGeom>
                    <a:noFill/>
                    <a:ln>
                      <a:noFill/>
                    </a:ln>
                  </pic:spPr>
                </pic:pic>
              </a:graphicData>
            </a:graphic>
          </wp:inline>
        </w:drawing>
      </w:r>
    </w:p>
    <w:p w:rsidR="0088636D" w:rsidRPr="0088636D" w:rsidRDefault="0088636D" w:rsidP="0088636D">
      <w:pPr>
        <w:jc w:val="both"/>
        <w:rPr>
          <w:rFonts w:ascii="Times New Roman" w:hAnsi="Times New Roman" w:cs="Times New Roman"/>
          <w:sz w:val="24"/>
          <w:szCs w:val="24"/>
        </w:rPr>
      </w:pPr>
      <w:r w:rsidRPr="0088636D">
        <w:rPr>
          <w:rFonts w:ascii="Times New Roman" w:hAnsi="Times New Roman" w:cs="Times New Roman"/>
          <w:sz w:val="24"/>
          <w:szCs w:val="24"/>
        </w:rPr>
        <w:t>де Іх — індекс зміни середньої заробітної плати за визначений період; Ig — зведений індекс ціни на ЛП за визначений період.</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rPr>
        <w:t>Д.ф.д. для малозабезпечених верств населення, зокрема безробітних, пенсіонерів та пільгового контингенту, визначають за показником адекватності соціального захисту або соціальної доступності (Dc) за формулою:</w:t>
      </w:r>
    </w:p>
    <w:p w:rsidR="0088636D" w:rsidRPr="0088636D" w:rsidRDefault="0088636D" w:rsidP="0088636D">
      <w:pPr>
        <w:ind w:firstLine="708"/>
        <w:jc w:val="both"/>
        <w:rPr>
          <w:rFonts w:ascii="Times New Roman" w:hAnsi="Times New Roman" w:cs="Times New Roman"/>
          <w:sz w:val="24"/>
          <w:szCs w:val="24"/>
          <w:lang w:val="uk-UA"/>
        </w:rPr>
      </w:pPr>
    </w:p>
    <w:p w:rsidR="0088636D" w:rsidRPr="0088636D" w:rsidRDefault="0088636D" w:rsidP="0088636D">
      <w:pPr>
        <w:jc w:val="center"/>
        <w:rPr>
          <w:rFonts w:ascii="Times New Roman" w:hAnsi="Times New Roman" w:cs="Times New Roman"/>
          <w:sz w:val="24"/>
          <w:szCs w:val="24"/>
        </w:rPr>
      </w:pPr>
      <w:r w:rsidRPr="0088636D">
        <w:rPr>
          <w:rFonts w:ascii="Times New Roman" w:hAnsi="Times New Roman" w:cs="Times New Roman"/>
          <w:noProof/>
          <w:sz w:val="24"/>
          <w:szCs w:val="24"/>
          <w:lang w:val="uk-UA" w:eastAsia="uk-UA"/>
        </w:rPr>
        <w:drawing>
          <wp:inline distT="0" distB="0" distL="0" distR="0" wp14:anchorId="631F0BD9" wp14:editId="3916804A">
            <wp:extent cx="2286000" cy="505460"/>
            <wp:effectExtent l="0" t="0" r="0"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86000" cy="505460"/>
                    </a:xfrm>
                    <a:prstGeom prst="rect">
                      <a:avLst/>
                    </a:prstGeom>
                    <a:noFill/>
                    <a:ln>
                      <a:noFill/>
                    </a:ln>
                  </pic:spPr>
                </pic:pic>
              </a:graphicData>
            </a:graphic>
          </wp:inline>
        </w:drawing>
      </w:r>
    </w:p>
    <w:p w:rsidR="0088636D" w:rsidRPr="0088636D" w:rsidRDefault="0088636D" w:rsidP="0088636D">
      <w:pPr>
        <w:jc w:val="both"/>
        <w:rPr>
          <w:rFonts w:ascii="Times New Roman" w:hAnsi="Times New Roman" w:cs="Times New Roman"/>
          <w:sz w:val="24"/>
          <w:szCs w:val="24"/>
          <w:lang w:val="uk-UA"/>
        </w:rPr>
      </w:pP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де </w:t>
      </w:r>
      <w:r w:rsidRPr="0088636D">
        <w:rPr>
          <w:rFonts w:ascii="Times New Roman" w:hAnsi="Times New Roman" w:cs="Times New Roman"/>
          <w:sz w:val="24"/>
          <w:szCs w:val="24"/>
        </w:rPr>
        <w:t>Zmin </w:t>
      </w:r>
      <w:r w:rsidRPr="0088636D">
        <w:rPr>
          <w:rFonts w:ascii="Times New Roman" w:hAnsi="Times New Roman" w:cs="Times New Roman"/>
          <w:sz w:val="24"/>
          <w:szCs w:val="24"/>
          <w:lang w:val="uk-UA"/>
        </w:rPr>
        <w:t>— мінімальна заробітна плата в</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країні; </w:t>
      </w:r>
      <w:r w:rsidRPr="0088636D">
        <w:rPr>
          <w:rFonts w:ascii="Times New Roman" w:hAnsi="Times New Roman" w:cs="Times New Roman"/>
          <w:sz w:val="24"/>
          <w:szCs w:val="24"/>
        </w:rPr>
        <w:t>Vk </w:t>
      </w:r>
      <w:r w:rsidRPr="0088636D">
        <w:rPr>
          <w:rFonts w:ascii="Times New Roman" w:hAnsi="Times New Roman" w:cs="Times New Roman"/>
          <w:sz w:val="24"/>
          <w:szCs w:val="24"/>
          <w:lang w:val="uk-UA"/>
        </w:rPr>
        <w:t>— прожитковий мінімум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досліджуваний період; </w:t>
      </w:r>
      <w:r w:rsidRPr="0088636D">
        <w:rPr>
          <w:rFonts w:ascii="Times New Roman" w:hAnsi="Times New Roman" w:cs="Times New Roman"/>
          <w:sz w:val="24"/>
          <w:szCs w:val="24"/>
        </w:rPr>
        <w:t>Ig </w:t>
      </w:r>
      <w:r w:rsidRPr="0088636D">
        <w:rPr>
          <w:rFonts w:ascii="Times New Roman" w:hAnsi="Times New Roman" w:cs="Times New Roman"/>
          <w:sz w:val="24"/>
          <w:szCs w:val="24"/>
          <w:lang w:val="uk-UA"/>
        </w:rPr>
        <w:t>— зведений індекс ціни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ЛП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цей же період.</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Д.ф.д. громадянам країни, що перебувають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лікуванні у</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стаціонарних відділеннях закладів охорони здоров’я, відповідно до</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норм чинного законодавства надається безоплатно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рахунок державного та місцевих бюджетів, тому її доступність визначається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показником</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адекватності бюджетного фінансування (</w:t>
      </w:r>
      <w:r w:rsidRPr="0088636D">
        <w:rPr>
          <w:rFonts w:ascii="Times New Roman" w:hAnsi="Times New Roman" w:cs="Times New Roman"/>
          <w:sz w:val="24"/>
          <w:szCs w:val="24"/>
        </w:rPr>
        <w:t>Ds</w:t>
      </w:r>
      <w:r w:rsidRPr="0088636D">
        <w:rPr>
          <w:rFonts w:ascii="Times New Roman" w:hAnsi="Times New Roman" w:cs="Times New Roman"/>
          <w:sz w:val="24"/>
          <w:szCs w:val="24"/>
          <w:lang w:val="uk-UA"/>
        </w:rPr>
        <w:t>)</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відповідно до</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формули: </w:t>
      </w:r>
    </w:p>
    <w:p w:rsidR="0088636D" w:rsidRPr="0088636D" w:rsidRDefault="0088636D" w:rsidP="0088636D">
      <w:pPr>
        <w:jc w:val="center"/>
        <w:rPr>
          <w:rFonts w:ascii="Times New Roman" w:hAnsi="Times New Roman" w:cs="Times New Roman"/>
          <w:sz w:val="24"/>
          <w:szCs w:val="24"/>
        </w:rPr>
      </w:pPr>
      <w:r w:rsidRPr="0088636D">
        <w:rPr>
          <w:rFonts w:ascii="Times New Roman" w:hAnsi="Times New Roman" w:cs="Times New Roman"/>
          <w:noProof/>
          <w:sz w:val="24"/>
          <w:szCs w:val="24"/>
          <w:lang w:val="uk-UA" w:eastAsia="uk-UA"/>
        </w:rPr>
        <w:lastRenderedPageBreak/>
        <w:drawing>
          <wp:inline distT="0" distB="0" distL="0" distR="0" wp14:anchorId="2F446569" wp14:editId="6DF32E68">
            <wp:extent cx="2639060" cy="858520"/>
            <wp:effectExtent l="0" t="0" r="889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39060" cy="858520"/>
                    </a:xfrm>
                    <a:prstGeom prst="rect">
                      <a:avLst/>
                    </a:prstGeom>
                    <a:noFill/>
                    <a:ln>
                      <a:noFill/>
                    </a:ln>
                  </pic:spPr>
                </pic:pic>
              </a:graphicData>
            </a:graphic>
          </wp:inline>
        </w:drawing>
      </w: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sz w:val="24"/>
          <w:szCs w:val="24"/>
        </w:rPr>
        <w:t>де: Pa — ціна акцепту на ЛП; Pw — довідкова (індикативна) ціна на певний ЛП; Vf — обсяг (фактичний) бюджетного фінансування певної державної програми за досліджуваний період; Vn — обсяг бюджетного фінансування певної державної програми.</w:t>
      </w: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метою підвищення економічної Д.ф.д. та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досягнення максимального значення (</w:t>
      </w:r>
      <w:r w:rsidRPr="0088636D">
        <w:rPr>
          <w:rFonts w:ascii="Times New Roman" w:hAnsi="Times New Roman" w:cs="Times New Roman"/>
          <w:sz w:val="24"/>
          <w:szCs w:val="24"/>
        </w:rPr>
        <w:t>D </w:t>
      </w:r>
      <w:r w:rsidRPr="0088636D">
        <w:rPr>
          <w:rFonts w:ascii="Times New Roman" w:hAnsi="Times New Roman" w:cs="Times New Roman"/>
          <w:sz w:val="24"/>
          <w:szCs w:val="24"/>
          <w:lang w:val="uk-UA"/>
        </w:rPr>
        <w:t>=1) рівень цін акцепту на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ЛП не</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має перевищувати рівня довідкових цін, мінімальна заробітна плата у</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державі має наближатися до</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обсягу споживчого кошика, 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обсяги фінансування державних програм</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до</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обсягів потреб за</w:t>
      </w:r>
      <w:r w:rsidRPr="0088636D">
        <w:rPr>
          <w:rFonts w:ascii="Times New Roman" w:hAnsi="Times New Roman" w:cs="Times New Roman"/>
          <w:sz w:val="24"/>
          <w:szCs w:val="24"/>
        </w:rPr>
        <w:t> </w:t>
      </w:r>
      <w:r w:rsidRPr="0088636D">
        <w:rPr>
          <w:rFonts w:ascii="Times New Roman" w:hAnsi="Times New Roman" w:cs="Times New Roman"/>
          <w:sz w:val="24"/>
          <w:szCs w:val="24"/>
          <w:lang w:val="uk-UA"/>
        </w:rPr>
        <w:t xml:space="preserve">відповідними програмами. </w:t>
      </w:r>
    </w:p>
    <w:p w:rsidR="0088636D" w:rsidRPr="0088636D" w:rsidRDefault="0088636D" w:rsidP="0088636D">
      <w:pPr>
        <w:rPr>
          <w:rFonts w:ascii="Times New Roman" w:hAnsi="Times New Roman" w:cs="Times New Roman"/>
          <w:sz w:val="24"/>
          <w:szCs w:val="24"/>
          <w:lang w:val="uk-UA"/>
        </w:rPr>
      </w:pPr>
    </w:p>
    <w:p w:rsidR="0088636D" w:rsidRPr="0088636D" w:rsidRDefault="0088636D" w:rsidP="008512F9">
      <w:pPr>
        <w:numPr>
          <w:ilvl w:val="0"/>
          <w:numId w:val="15"/>
        </w:numPr>
        <w:suppressAutoHyphens/>
        <w:spacing w:after="0" w:line="240" w:lineRule="auto"/>
        <w:jc w:val="both"/>
        <w:rPr>
          <w:rFonts w:ascii="Times New Roman" w:hAnsi="Times New Roman" w:cs="Times New Roman"/>
          <w:i/>
          <w:sz w:val="24"/>
          <w:szCs w:val="24"/>
          <w:lang w:val="uk-UA"/>
        </w:rPr>
      </w:pPr>
      <w:r w:rsidRPr="0088636D">
        <w:rPr>
          <w:rFonts w:ascii="Times New Roman" w:hAnsi="Times New Roman" w:cs="Times New Roman"/>
          <w:i/>
          <w:sz w:val="24"/>
          <w:szCs w:val="24"/>
          <w:lang w:val="uk-UA"/>
        </w:rPr>
        <w:t>Референтне ціноутворення на лікарські засоби в Україні</w:t>
      </w:r>
    </w:p>
    <w:p w:rsidR="0088636D" w:rsidRPr="0088636D" w:rsidRDefault="0088636D" w:rsidP="0088636D">
      <w:pPr>
        <w:rPr>
          <w:rFonts w:ascii="Times New Roman" w:hAnsi="Times New Roman" w:cs="Times New Roman"/>
          <w:color w:val="333333"/>
          <w:sz w:val="24"/>
          <w:szCs w:val="24"/>
          <w:shd w:val="clear" w:color="auto" w:fill="FFFFFF"/>
          <w:lang w:val="uk-UA"/>
        </w:rPr>
      </w:pPr>
    </w:p>
    <w:p w:rsidR="0088636D" w:rsidRPr="0088636D" w:rsidRDefault="0088636D" w:rsidP="0088636D">
      <w:pPr>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Сучасний рівень розвитку системи охорони здоров’я та фармації в Україні не дозволяє повною мірою реалізувати конституційне право громадян на доступну та якісну медичну і фармацевтичну допомогу. Його забезпечення належить до соціально вразливих питань і потребує негайного вирішення, в першу чергу шляхом впровадження ефективних соціально-економічних механізмів ціноутворення та компенсації (реімбурсації) вартості фармацевтичної допомоги.</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Ефективність зазначених механізмів безпосередньо пов’язана з розробкою економічно обґрунтованої системи цін на лікарські засоби, яка забезпечить прозорість формування цін, в першу чергу на основні лікарські засоби (ОЛЗ) згідно з Національним переліком, оптимізацію витрат бюджету держави, а у перспективі системи обов’язкового медичного страхування (ОМС), і в той же час сприятиме розвитку вільної конкуренції на фармацевтичному ринку.</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На сьогодні практично всіма європейськими країнами впроваджена система референтних цін (СРЦ) (у 20 з 27 країн ЄС). Досвід цих країн дозволив визначити два основних підходи щодо СРЦ:</w:t>
      </w:r>
    </w:p>
    <w:p w:rsidR="0088636D" w:rsidRPr="0088636D" w:rsidRDefault="0088636D" w:rsidP="008512F9">
      <w:pPr>
        <w:numPr>
          <w:ilvl w:val="0"/>
          <w:numId w:val="16"/>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референтне ціноутворення, яке є методом встановлення рівня компенсації фармацевтичної допомоги у країнах, що історично застосовують переважно вільне ціноутворення у фармації (Німеччина, Данія);</w:t>
      </w:r>
    </w:p>
    <w:p w:rsidR="0088636D" w:rsidRPr="0088636D" w:rsidRDefault="0088636D" w:rsidP="008512F9">
      <w:pPr>
        <w:numPr>
          <w:ilvl w:val="0"/>
          <w:numId w:val="16"/>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регулювання ціноутворення (Франція, Норвегія, Словаччина, Польща, Литва, Бельгія та ін.).</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Наукове узагальнення досвіду європейських країн з питань ціноутворення та компенсації вартості лікарських засобів доводить, що СРЦ є найефективнішим методом державного регулювання ціноутворення у фармації в умовах постійного дефіциту ресурсів, а також реімбурсації вартості препаратів. Розробка методики формування СРЦ в Україні, що враховує національні особливості, є актуальним завданням, її вирішення дозволить підвищити ефективність очікуваних соціально-економічних реформ у системі охорони здоров’я та фармації.</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Необхідність визначення економічно обґрунтованого рівня реімбурсації вартості лікарських засобів та медичних виробів зумовлена двома основними детермінантами, які </w:t>
      </w:r>
      <w:r w:rsidRPr="0088636D">
        <w:rPr>
          <w:rFonts w:ascii="Times New Roman" w:hAnsi="Times New Roman" w:cs="Times New Roman"/>
          <w:sz w:val="24"/>
          <w:szCs w:val="24"/>
          <w:lang w:val="uk-UA"/>
        </w:rPr>
        <w:lastRenderedPageBreak/>
        <w:t>характерні для переважної більшості країн світу. Це, зокрема, високий рівень пропозиції на фармацевтичному ринку та обмежені ресурси платників (населення, бюджети країн, страхові фонди у системі фармацевтичного забезпечення).</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 позицій ціноутворення на лікарські засоби визначення економічно обґрунтованого рівня реімбурсації фармацевтичної допомоги населенню слід розглядати у двох аспектах:</w:t>
      </w:r>
    </w:p>
    <w:p w:rsidR="0088636D" w:rsidRPr="0088636D" w:rsidRDefault="0088636D" w:rsidP="008512F9">
      <w:pPr>
        <w:numPr>
          <w:ilvl w:val="0"/>
          <w:numId w:val="17"/>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вибір найменувань лікарських засобів, вартість яких компенсується;</w:t>
      </w:r>
    </w:p>
    <w:p w:rsidR="0088636D" w:rsidRPr="0088636D" w:rsidRDefault="0088636D" w:rsidP="008512F9">
      <w:pPr>
        <w:numPr>
          <w:ilvl w:val="0"/>
          <w:numId w:val="17"/>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ціна лікарського засобу, відповідно до якої розраховується вартість реімбурсації.</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Референтна ціна (РЦ) — це та ціна на лікарські засоби однієї групової приналежності (фармакотерапевтична група, лікарська форма та ін.), за якою проводиться розрахунок реімбурсації (компенсації) вартості фармацевтичної допомоги населенню. СРЦ належить до непрямих методів державного регулювання ціноутворення у фармації, які безпосередньо не встановлюють та не обмежують рівень цін на лікарські засоби, впливають опосередковано, у даному випадку через ринкові важелі на баланс попиту та пропозиції. Науковцями кафедри організації економіки фармації (ОЕФ) Національного фармацевтичного університету (НФаУ) під керівництвом професора Алли Немченко були розроблені методичні рекомендації з формування системи референтних цін на основні лікарські засоби.</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Запропонована СРЦ має структуру, представлену на слайді. Об’єктами системи є в першу чергу роздрібні ціни на ОЛЗ, але системою передбачається стимулювання виробників/імпортерів ОЛЗ до врахування рівня референтної ціни у процесі формування оптово-відпускних цін.</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p>
    <w:p w:rsidR="0088636D" w:rsidRPr="0088636D" w:rsidRDefault="0088636D" w:rsidP="0088636D">
      <w:pPr>
        <w:shd w:val="clear" w:color="auto" w:fill="FFFFFF"/>
        <w:ind w:firstLine="708"/>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Слайд. Система референтних цін</w:t>
      </w:r>
    </w:p>
    <w:p w:rsidR="0088636D" w:rsidRPr="0088636D" w:rsidRDefault="0088636D" w:rsidP="0088636D">
      <w:pPr>
        <w:jc w:val="center"/>
        <w:rPr>
          <w:rFonts w:ascii="Times New Roman" w:hAnsi="Times New Roman" w:cs="Times New Roman"/>
          <w:sz w:val="24"/>
          <w:szCs w:val="24"/>
          <w:lang w:val="uk-UA"/>
        </w:rPr>
      </w:pPr>
      <w:r w:rsidRPr="0088636D">
        <w:rPr>
          <w:rFonts w:ascii="Times New Roman" w:hAnsi="Times New Roman" w:cs="Times New Roman"/>
          <w:noProof/>
          <w:sz w:val="24"/>
          <w:szCs w:val="24"/>
          <w:lang w:val="uk-UA" w:eastAsia="uk-UA"/>
        </w:rPr>
        <w:drawing>
          <wp:inline distT="0" distB="0" distL="0" distR="0" wp14:anchorId="25482DA4" wp14:editId="5D0BA8BE">
            <wp:extent cx="4996815" cy="3039745"/>
            <wp:effectExtent l="19050" t="19050" r="13335" b="2730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996815" cy="3039745"/>
                    </a:xfrm>
                    <a:prstGeom prst="rect">
                      <a:avLst/>
                    </a:prstGeom>
                    <a:noFill/>
                    <a:ln w="6350" cmpd="sng">
                      <a:solidFill>
                        <a:srgbClr val="000000"/>
                      </a:solidFill>
                      <a:miter lim="800000"/>
                      <a:headEnd/>
                      <a:tailEnd/>
                    </a:ln>
                    <a:effectLst/>
                  </pic:spPr>
                </pic:pic>
              </a:graphicData>
            </a:graphic>
          </wp:inline>
        </w:drawing>
      </w:r>
    </w:p>
    <w:p w:rsidR="0088636D" w:rsidRPr="0088636D" w:rsidRDefault="0088636D" w:rsidP="0088636D">
      <w:pPr>
        <w:jc w:val="both"/>
        <w:rPr>
          <w:rFonts w:ascii="Times New Roman" w:hAnsi="Times New Roman" w:cs="Times New Roman"/>
          <w:sz w:val="24"/>
          <w:szCs w:val="24"/>
          <w:lang w:val="uk-UA"/>
        </w:rPr>
      </w:pPr>
    </w:p>
    <w:p w:rsidR="0088636D" w:rsidRPr="0088636D" w:rsidRDefault="0088636D" w:rsidP="0088636D">
      <w:pPr>
        <w:jc w:val="both"/>
        <w:rPr>
          <w:rFonts w:ascii="Times New Roman" w:hAnsi="Times New Roman" w:cs="Times New Roman"/>
          <w:sz w:val="24"/>
          <w:szCs w:val="24"/>
          <w:lang w:val="uk-UA"/>
        </w:rPr>
      </w:pP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Формують СРЦ, а отже, є її суб’єктами, упов</w:t>
      </w:r>
      <w:r w:rsidRPr="0088636D">
        <w:rPr>
          <w:rFonts w:ascii="Times New Roman" w:hAnsi="Times New Roman" w:cs="Times New Roman"/>
          <w:sz w:val="24"/>
          <w:szCs w:val="24"/>
          <w:lang w:val="uk-UA"/>
        </w:rPr>
        <w:softHyphen/>
        <w:t>новажені державні органи, аптеки, платники вартості ОЛЗ (населення, держава, страхові та інші фонди) на принципах:</w:t>
      </w:r>
    </w:p>
    <w:p w:rsidR="0088636D" w:rsidRPr="0088636D" w:rsidRDefault="0088636D" w:rsidP="008512F9">
      <w:pPr>
        <w:numPr>
          <w:ilvl w:val="0"/>
          <w:numId w:val="18"/>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добровільності — кожен з суб’єктів, окрім державних уповноважених органів та фондів, має право не використовувати референтні ціни. Аптеки, виробники (імпортери), дистриб’ютори можуть визначати ціни на ОЛЗ вищі чи нижчі за референтну ціну, а населення може придбати за власний кошт будь-який лікарський засіб, що не входить до СРЦ, або сплатити різницю між референтною та роздрібною ціною за обраний препарат;</w:t>
      </w:r>
    </w:p>
    <w:p w:rsidR="0088636D" w:rsidRPr="0088636D" w:rsidRDefault="0088636D" w:rsidP="008512F9">
      <w:pPr>
        <w:numPr>
          <w:ilvl w:val="0"/>
          <w:numId w:val="18"/>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компенсації — вартість фармацевтичної допомоги компенсується населенню виключно на базі референтної ціни. Цей принцип визначає ефективність функціонування системи;</w:t>
      </w:r>
    </w:p>
    <w:p w:rsidR="0088636D" w:rsidRPr="0088636D" w:rsidRDefault="0088636D" w:rsidP="008512F9">
      <w:pPr>
        <w:numPr>
          <w:ilvl w:val="0"/>
          <w:numId w:val="18"/>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прозорості — референтну ціну зазначають на упаковці кожного ОЛЗ.</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СРЦ має виконувати наступні функції:</w:t>
      </w:r>
    </w:p>
    <w:p w:rsidR="0088636D" w:rsidRPr="0088636D" w:rsidRDefault="0088636D" w:rsidP="008512F9">
      <w:pPr>
        <w:numPr>
          <w:ilvl w:val="0"/>
          <w:numId w:val="19"/>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економічну — визначає вартість фармацевтичної допомоги населенню у разі її компенсування за рахунок державного, місцевих бюджетів, а у перспективі — страхових фондів медичного страхування, в тому числі обов’язкового;</w:t>
      </w:r>
    </w:p>
    <w:p w:rsidR="0088636D" w:rsidRPr="0088636D" w:rsidRDefault="0088636D" w:rsidP="008512F9">
      <w:pPr>
        <w:numPr>
          <w:ilvl w:val="0"/>
          <w:numId w:val="19"/>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соціальну — визначає обсяг гарантованої фармацевтичної допомоги населенню незалежно від рівня його доходів, місця проживання та ін.;</w:t>
      </w:r>
    </w:p>
    <w:p w:rsidR="0088636D" w:rsidRPr="0088636D" w:rsidRDefault="0088636D" w:rsidP="008512F9">
      <w:pPr>
        <w:numPr>
          <w:ilvl w:val="0"/>
          <w:numId w:val="19"/>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стимулювальну — створює умови для зростання попиту на ОЛЗ, роздрібна ціна на які максимально наближена до референтної, та в першу чергу на ОЛЗ вітчизняного виробництва.</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Порядок формування СРЦ складається з чотирьох етапів, які схематично наведено на даному слайді:</w:t>
      </w:r>
    </w:p>
    <w:p w:rsidR="0088636D" w:rsidRPr="0088636D" w:rsidRDefault="0088636D" w:rsidP="0088636D">
      <w:pPr>
        <w:jc w:val="both"/>
        <w:rPr>
          <w:rFonts w:ascii="Times New Roman" w:hAnsi="Times New Roman" w:cs="Times New Roman"/>
          <w:sz w:val="24"/>
          <w:szCs w:val="24"/>
          <w:lang w:val="uk-UA"/>
        </w:rPr>
      </w:pPr>
      <w:r w:rsidRPr="0088636D">
        <w:rPr>
          <w:rFonts w:ascii="Times New Roman" w:hAnsi="Times New Roman" w:cs="Times New Roman"/>
          <w:noProof/>
          <w:sz w:val="24"/>
          <w:szCs w:val="24"/>
          <w:lang w:val="uk-UA" w:eastAsia="uk-UA"/>
        </w:rPr>
        <w:drawing>
          <wp:inline distT="0" distB="0" distL="0" distR="0" wp14:anchorId="23557BC2" wp14:editId="2179892F">
            <wp:extent cx="5807075" cy="2823210"/>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807075" cy="2823210"/>
                    </a:xfrm>
                    <a:prstGeom prst="rect">
                      <a:avLst/>
                    </a:prstGeom>
                    <a:noFill/>
                    <a:ln>
                      <a:noFill/>
                    </a:ln>
                  </pic:spPr>
                </pic:pic>
              </a:graphicData>
            </a:graphic>
          </wp:inline>
        </w:drawing>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Першим етапом формування СРЦ є створення референтних груп (РГ). РГ — це група ОЛЗ, які мають єдиний рівень компенсації. Створення РГ ґрунтується на припущенні, що ОЛЗ у межах визначеної РГ майже рівноцінні для лікування та можуть бути об’єднані до єдиного рівня компенсації. РГ визначаються за двома підходами:</w:t>
      </w:r>
    </w:p>
    <w:p w:rsidR="0088636D" w:rsidRPr="0088636D" w:rsidRDefault="0088636D" w:rsidP="008512F9">
      <w:pPr>
        <w:numPr>
          <w:ilvl w:val="0"/>
          <w:numId w:val="20"/>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традиційні ОЛЗ та генерики вітчизняного та імпортного виробництва об’єднуються у РГ за міжнародним непатентованим найменуванням (МНН), за 5 рівнем АТС-класифікації;</w:t>
      </w:r>
    </w:p>
    <w:p w:rsidR="0088636D" w:rsidRPr="0088636D" w:rsidRDefault="0088636D" w:rsidP="008512F9">
      <w:pPr>
        <w:numPr>
          <w:ilvl w:val="0"/>
          <w:numId w:val="20"/>
        </w:numPr>
        <w:shd w:val="clear" w:color="auto" w:fill="FFFFFF"/>
        <w:spacing w:after="0" w:line="240" w:lineRule="auto"/>
        <w:ind w:left="0" w:firstLine="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нові та вдосконалені ОЛЗ за рівнем компенсації мають відповідати подіб</w:t>
      </w:r>
      <w:r w:rsidRPr="0088636D">
        <w:rPr>
          <w:rFonts w:ascii="Times New Roman" w:hAnsi="Times New Roman" w:cs="Times New Roman"/>
          <w:sz w:val="24"/>
          <w:szCs w:val="24"/>
          <w:lang w:val="uk-UA"/>
        </w:rPr>
        <w:softHyphen/>
        <w:t>ним за фармакотерапевтичною дією, тобто ОЛЗ однієї підгрупи (4-й рівень АТС-класифікації).</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Встановлення референтних цін, як правило, не стосується запатентованих ліків. Усереди</w:t>
      </w:r>
      <w:r w:rsidRPr="0088636D">
        <w:rPr>
          <w:rFonts w:ascii="Times New Roman" w:hAnsi="Times New Roman" w:cs="Times New Roman"/>
          <w:sz w:val="24"/>
          <w:szCs w:val="24"/>
          <w:lang w:val="uk-UA"/>
        </w:rPr>
        <w:softHyphen/>
        <w:t>ні РГ за результатами її аналізу експертами можуть бути визначені референтні підгрупи (РП), наприклад об’єднані за лікарською формою, способом введення та ін. для забезпечення рівноцінності РГ та з урахуванням обсягу фінансування фармацевтичної допомоги населенню.</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Другий етап полягає у визначенні референтного рівня (РР). РР — це вартість 1DDD або одиниці діючої речовини (ОДР) на ОЛЗ-аналоги у межах РГ, яка є базовою для розрахунку референтної ціни.</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Третій етап полягає у розрахунку референтної ціни для окремих найменувань лікарських засобів відповідно до РГ за формулою (1):</w:t>
      </w:r>
    </w:p>
    <w:p w:rsidR="0088636D" w:rsidRPr="0088636D" w:rsidRDefault="0088636D" w:rsidP="0088636D">
      <w:pPr>
        <w:shd w:val="clear" w:color="auto" w:fill="FFFFFF"/>
        <w:ind w:left="2124"/>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РЦ=РР*К (1), де</w:t>
      </w:r>
    </w:p>
    <w:p w:rsidR="0088636D" w:rsidRPr="0088636D" w:rsidRDefault="0088636D" w:rsidP="0088636D">
      <w:pPr>
        <w:shd w:val="clear" w:color="auto" w:fill="FFFFFF"/>
        <w:ind w:left="2124"/>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РЦ — референтна ціна на ОЛЗ;</w:t>
      </w:r>
    </w:p>
    <w:p w:rsidR="0088636D" w:rsidRPr="0088636D" w:rsidRDefault="0088636D" w:rsidP="0088636D">
      <w:pPr>
        <w:shd w:val="clear" w:color="auto" w:fill="FFFFFF"/>
        <w:ind w:left="2124"/>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РР — референтний рівень певної РГ;</w:t>
      </w:r>
    </w:p>
    <w:p w:rsidR="0088636D" w:rsidRPr="0088636D" w:rsidRDefault="0088636D" w:rsidP="0088636D">
      <w:pPr>
        <w:shd w:val="clear" w:color="auto" w:fill="FFFFFF"/>
        <w:ind w:left="2124"/>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К — кількість DDD в упаковці.</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На четвертому етапі визначається соціально-економічний ефект впровадження СРЦ та його постійний моніторинг, що дозволить оперативно вносити зміни до розрахунку РР з урахуванням інтересів суб’єктів СРЦ.</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Економічний ефект доцільно визначати за допомогою розрахунку показника економічної ефективності СРЦ (IE) у грошовому вираженні та рівня економічної ефективності (RIE) у відсотках.</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IE для k-референтної групи розраховується за формулою (2):</w:t>
      </w:r>
    </w:p>
    <w:p w:rsidR="0088636D" w:rsidRPr="0088636D" w:rsidRDefault="0088636D" w:rsidP="0088636D">
      <w:pPr>
        <w:shd w:val="clear" w:color="auto" w:fill="FFFFFF"/>
        <w:jc w:val="center"/>
        <w:rPr>
          <w:rFonts w:ascii="Times New Roman" w:hAnsi="Times New Roman" w:cs="Times New Roman"/>
          <w:sz w:val="24"/>
          <w:szCs w:val="24"/>
          <w:lang w:val="uk-UA"/>
        </w:rPr>
      </w:pPr>
      <w:r w:rsidRPr="0088636D">
        <w:rPr>
          <w:rFonts w:ascii="Times New Roman" w:hAnsi="Times New Roman" w:cs="Times New Roman"/>
          <w:noProof/>
          <w:sz w:val="24"/>
          <w:szCs w:val="24"/>
          <w:lang w:val="uk-UA" w:eastAsia="uk-UA"/>
        </w:rPr>
        <w:drawing>
          <wp:inline distT="0" distB="0" distL="0" distR="0" wp14:anchorId="4E90A365" wp14:editId="1DD932EF">
            <wp:extent cx="2599055" cy="240665"/>
            <wp:effectExtent l="0" t="0" r="0" b="6985"/>
            <wp:docPr id="10" name="Рисунок 10" descr="wpid132009-wpid-nfau03_fm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wpid132009-wpid-nfau03_fmt"/>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99055" cy="240665"/>
                    </a:xfrm>
                    <a:prstGeom prst="rect">
                      <a:avLst/>
                    </a:prstGeom>
                    <a:noFill/>
                    <a:ln>
                      <a:noFill/>
                    </a:ln>
                  </pic:spPr>
                </pic:pic>
              </a:graphicData>
            </a:graphic>
          </wp:inline>
        </w:drawing>
      </w:r>
      <w:r w:rsidRPr="0088636D">
        <w:rPr>
          <w:rFonts w:ascii="Times New Roman" w:hAnsi="Times New Roman" w:cs="Times New Roman"/>
          <w:sz w:val="24"/>
          <w:szCs w:val="24"/>
          <w:lang w:val="uk-UA"/>
        </w:rPr>
        <w:t>(2), де:</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Vik t — обсяг споживаного i-найменування лікарського засобу k-референтної групи у натуральному вираженні за період часу, що аналізується (t), упаковки;</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Цik t — роздрібна ціна на і-найменування лікарського засобу k-референтної групи за період часу, що аналізується (t), грн.;</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РЦik t — референтна ціна на i-найменування лікарського засобу k-референтної групи за період часу, що аналізується (t), грн.</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Рівень соціально-економічної ефективності (RIE) визначається відношенням показника соціально-</w:t>
      </w:r>
      <w:r w:rsidRPr="0088636D">
        <w:rPr>
          <w:rFonts w:ascii="Times New Roman" w:hAnsi="Times New Roman" w:cs="Times New Roman"/>
          <w:sz w:val="24"/>
          <w:szCs w:val="24"/>
          <w:lang w:val="uk-UA"/>
        </w:rPr>
        <w:softHyphen/>
        <w:t>економічної ефективності (IE) до загального обсягу фармацевтичної допомоги, яка надана за визначений термін часу у грошовому вираженні за формулою (3):</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p>
    <w:p w:rsidR="0088636D" w:rsidRPr="0088636D" w:rsidRDefault="0088636D" w:rsidP="0088636D">
      <w:pPr>
        <w:shd w:val="clear" w:color="auto" w:fill="FFFFFF"/>
        <w:jc w:val="center"/>
        <w:rPr>
          <w:rFonts w:ascii="Times New Roman" w:hAnsi="Times New Roman" w:cs="Times New Roman"/>
          <w:sz w:val="24"/>
          <w:szCs w:val="24"/>
          <w:lang w:val="uk-UA"/>
        </w:rPr>
      </w:pPr>
      <w:r w:rsidRPr="0088636D">
        <w:rPr>
          <w:rFonts w:ascii="Times New Roman" w:hAnsi="Times New Roman" w:cs="Times New Roman"/>
          <w:noProof/>
          <w:sz w:val="24"/>
          <w:szCs w:val="24"/>
          <w:lang w:val="uk-UA" w:eastAsia="uk-UA"/>
        </w:rPr>
        <w:drawing>
          <wp:inline distT="0" distB="0" distL="0" distR="0" wp14:anchorId="3083BB1D" wp14:editId="48AE1B88">
            <wp:extent cx="1612265" cy="505460"/>
            <wp:effectExtent l="0" t="0" r="6985" b="8890"/>
            <wp:docPr id="9" name="Рисунок 9" descr="wpid132010-wpid-nfau04_fm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wpid132010-wpid-nfau04_fmt"/>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612265" cy="505460"/>
                    </a:xfrm>
                    <a:prstGeom prst="rect">
                      <a:avLst/>
                    </a:prstGeom>
                    <a:noFill/>
                    <a:ln>
                      <a:noFill/>
                    </a:ln>
                  </pic:spPr>
                </pic:pic>
              </a:graphicData>
            </a:graphic>
          </wp:inline>
        </w:drawing>
      </w:r>
      <w:r w:rsidRPr="0088636D">
        <w:rPr>
          <w:rFonts w:ascii="Times New Roman" w:hAnsi="Times New Roman" w:cs="Times New Roman"/>
          <w:sz w:val="24"/>
          <w:szCs w:val="24"/>
          <w:lang w:val="uk-UA"/>
        </w:rPr>
        <w:t>(3), де:</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RIE — рівень соціально-економічної ефективності у відсотках;</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IE — показник соціально-економічної ефективності, грн.;</w:t>
      </w:r>
    </w:p>
    <w:p w:rsidR="0088636D" w:rsidRPr="0088636D" w:rsidRDefault="0088636D" w:rsidP="0088636D">
      <w:pPr>
        <w:shd w:val="clear" w:color="auto" w:fill="FFFFFF"/>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Vt — обсяг фармацевтичної допомоги, яка надана за визначений термін часу, грн.</w:t>
      </w:r>
    </w:p>
    <w:p w:rsidR="0088636D" w:rsidRPr="0088636D" w:rsidRDefault="0088636D" w:rsidP="0088636D">
      <w:pPr>
        <w:rPr>
          <w:rFonts w:ascii="Times New Roman" w:hAnsi="Times New Roman" w:cs="Times New Roman"/>
          <w:sz w:val="24"/>
          <w:szCs w:val="24"/>
          <w:lang w:val="uk-UA"/>
        </w:rPr>
      </w:pPr>
    </w:p>
    <w:p w:rsidR="0088636D" w:rsidRPr="0088636D" w:rsidRDefault="0088636D" w:rsidP="0088636D">
      <w:pPr>
        <w:shd w:val="clear" w:color="auto" w:fill="FFFFFF"/>
        <w:jc w:val="both"/>
        <w:rPr>
          <w:rFonts w:ascii="Times New Roman" w:hAnsi="Times New Roman" w:cs="Times New Roman"/>
          <w:sz w:val="24"/>
          <w:szCs w:val="24"/>
          <w:lang w:val="uk-UA"/>
        </w:rPr>
      </w:pPr>
    </w:p>
    <w:p w:rsidR="0088636D" w:rsidRPr="0088636D" w:rsidRDefault="0088636D" w:rsidP="0088636D">
      <w:pPr>
        <w:shd w:val="clear" w:color="auto" w:fill="FFFFFF"/>
        <w:spacing w:after="150"/>
        <w:ind w:firstLine="450"/>
        <w:jc w:val="center"/>
        <w:rPr>
          <w:rFonts w:ascii="Times New Roman" w:hAnsi="Times New Roman" w:cs="Times New Roman"/>
          <w:b/>
          <w:color w:val="333333"/>
          <w:sz w:val="24"/>
          <w:szCs w:val="24"/>
          <w:lang w:val="uk-UA" w:eastAsia="uk-UA"/>
        </w:rPr>
      </w:pPr>
      <w:r w:rsidRPr="0088636D">
        <w:rPr>
          <w:rFonts w:ascii="Times New Roman" w:hAnsi="Times New Roman" w:cs="Times New Roman"/>
          <w:b/>
          <w:color w:val="333333"/>
          <w:sz w:val="24"/>
          <w:szCs w:val="24"/>
          <w:lang w:val="uk-UA" w:eastAsia="uk-UA"/>
        </w:rPr>
        <w:t>Розмір реімбурсації за упаковку лікарського засобу розраховується за такою формулою:</w:t>
      </w:r>
    </w:p>
    <w:tbl>
      <w:tblPr>
        <w:tblW w:w="5000" w:type="pct"/>
        <w:jc w:val="center"/>
        <w:tblCellMar>
          <w:left w:w="0" w:type="dxa"/>
          <w:right w:w="0" w:type="dxa"/>
        </w:tblCellMar>
        <w:tblLook w:val="04A0" w:firstRow="1" w:lastRow="0" w:firstColumn="1" w:lastColumn="0" w:noHBand="0" w:noVBand="1"/>
      </w:tblPr>
      <w:tblGrid>
        <w:gridCol w:w="9927"/>
      </w:tblGrid>
      <w:tr w:rsidR="0088636D" w:rsidRPr="0088636D" w:rsidTr="00956B42">
        <w:trPr>
          <w:trHeight w:val="480"/>
          <w:jc w:val="center"/>
        </w:trPr>
        <w:tc>
          <w:tcPr>
            <w:tcW w:w="5000" w:type="pct"/>
            <w:tcBorders>
              <w:top w:val="single" w:sz="2" w:space="0" w:color="auto"/>
              <w:left w:val="single" w:sz="2" w:space="0" w:color="auto"/>
              <w:bottom w:val="single" w:sz="2" w:space="0" w:color="auto"/>
              <w:right w:val="single" w:sz="2" w:space="0" w:color="auto"/>
            </w:tcBorders>
            <w:hideMark/>
          </w:tcPr>
          <w:p w:rsidR="0088636D" w:rsidRPr="0088636D" w:rsidRDefault="0088636D" w:rsidP="00956B42">
            <w:pPr>
              <w:spacing w:before="150" w:after="150"/>
              <w:jc w:val="center"/>
              <w:rPr>
                <w:rFonts w:ascii="Times New Roman" w:hAnsi="Times New Roman" w:cs="Times New Roman"/>
                <w:sz w:val="24"/>
                <w:szCs w:val="24"/>
                <w:lang w:val="uk-UA" w:eastAsia="uk-UA"/>
              </w:rPr>
            </w:pPr>
            <w:bookmarkStart w:id="5" w:name="n182"/>
            <w:bookmarkEnd w:id="5"/>
            <w:r w:rsidRPr="0088636D">
              <w:rPr>
                <w:rFonts w:ascii="Times New Roman" w:hAnsi="Times New Roman" w:cs="Times New Roman"/>
                <w:sz w:val="24"/>
                <w:szCs w:val="24"/>
                <w:lang w:val="uk-UA" w:eastAsia="uk-UA"/>
              </w:rPr>
              <w:t>Р</w:t>
            </w:r>
            <w:r w:rsidRPr="0088636D">
              <w:rPr>
                <w:rFonts w:ascii="Times New Roman" w:hAnsi="Times New Roman" w:cs="Times New Roman"/>
                <w:b/>
                <w:bCs/>
                <w:sz w:val="24"/>
                <w:szCs w:val="24"/>
                <w:vertAlign w:val="subscript"/>
                <w:lang w:val="uk-UA" w:eastAsia="uk-UA"/>
              </w:rPr>
              <w:t>р</w:t>
            </w:r>
            <w:r w:rsidRPr="0088636D">
              <w:rPr>
                <w:rFonts w:ascii="Times New Roman" w:hAnsi="Times New Roman" w:cs="Times New Roman"/>
                <w:sz w:val="24"/>
                <w:szCs w:val="24"/>
                <w:lang w:val="uk-UA" w:eastAsia="uk-UA"/>
              </w:rPr>
              <w:t>= М х К (1 + Н</w:t>
            </w:r>
            <w:r w:rsidRPr="0088636D">
              <w:rPr>
                <w:rFonts w:ascii="Times New Roman" w:hAnsi="Times New Roman" w:cs="Times New Roman"/>
                <w:b/>
                <w:bCs/>
                <w:sz w:val="24"/>
                <w:szCs w:val="24"/>
                <w:vertAlign w:val="subscript"/>
                <w:lang w:val="uk-UA" w:eastAsia="uk-UA"/>
              </w:rPr>
              <w:t>о</w:t>
            </w:r>
            <w:r w:rsidRPr="0088636D">
              <w:rPr>
                <w:rFonts w:ascii="Times New Roman" w:hAnsi="Times New Roman" w:cs="Times New Roman"/>
                <w:sz w:val="24"/>
                <w:szCs w:val="24"/>
                <w:lang w:val="uk-UA" w:eastAsia="uk-UA"/>
              </w:rPr>
              <w:t>/ 100) х (1 + Н</w:t>
            </w:r>
            <w:r w:rsidRPr="0088636D">
              <w:rPr>
                <w:rFonts w:ascii="Times New Roman" w:hAnsi="Times New Roman" w:cs="Times New Roman"/>
                <w:b/>
                <w:bCs/>
                <w:sz w:val="24"/>
                <w:szCs w:val="24"/>
                <w:vertAlign w:val="subscript"/>
                <w:lang w:val="uk-UA" w:eastAsia="uk-UA"/>
              </w:rPr>
              <w:t>р</w:t>
            </w:r>
            <w:r w:rsidRPr="0088636D">
              <w:rPr>
                <w:rFonts w:ascii="Times New Roman" w:hAnsi="Times New Roman" w:cs="Times New Roman"/>
                <w:sz w:val="24"/>
                <w:szCs w:val="24"/>
                <w:lang w:val="uk-UA" w:eastAsia="uk-UA"/>
              </w:rPr>
              <w:t>/ 100) х (1+ПДВ/100),</w:t>
            </w:r>
          </w:p>
        </w:tc>
      </w:tr>
    </w:tbl>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6" w:name="n183"/>
      <w:bookmarkEnd w:id="6"/>
      <w:r w:rsidRPr="0088636D">
        <w:rPr>
          <w:rFonts w:ascii="Times New Roman" w:hAnsi="Times New Roman" w:cs="Times New Roman"/>
          <w:color w:val="333333"/>
          <w:sz w:val="24"/>
          <w:szCs w:val="24"/>
          <w:lang w:val="uk-UA" w:eastAsia="uk-UA"/>
        </w:rPr>
        <w:t>де Р</w:t>
      </w:r>
      <w:r w:rsidRPr="0088636D">
        <w:rPr>
          <w:rFonts w:ascii="Times New Roman" w:hAnsi="Times New Roman" w:cs="Times New Roman"/>
          <w:b/>
          <w:bCs/>
          <w:color w:val="333333"/>
          <w:sz w:val="24"/>
          <w:szCs w:val="24"/>
          <w:vertAlign w:val="subscript"/>
          <w:lang w:val="uk-UA" w:eastAsia="uk-UA"/>
        </w:rPr>
        <w:t>р</w:t>
      </w:r>
      <w:r w:rsidRPr="0088636D">
        <w:rPr>
          <w:rFonts w:ascii="Times New Roman" w:hAnsi="Times New Roman" w:cs="Times New Roman"/>
          <w:color w:val="333333"/>
          <w:sz w:val="24"/>
          <w:szCs w:val="24"/>
          <w:lang w:val="uk-UA" w:eastAsia="uk-UA"/>
        </w:rPr>
        <w:t>- розмір реімбурсації за упаковку лікарського засобу;</w:t>
      </w:r>
    </w:p>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7" w:name="n184"/>
      <w:bookmarkEnd w:id="7"/>
      <w:r w:rsidRPr="0088636D">
        <w:rPr>
          <w:rFonts w:ascii="Times New Roman" w:hAnsi="Times New Roman" w:cs="Times New Roman"/>
          <w:color w:val="333333"/>
          <w:sz w:val="24"/>
          <w:szCs w:val="24"/>
          <w:lang w:val="uk-UA" w:eastAsia="uk-UA"/>
        </w:rPr>
        <w:t>М - мінімальна оптово-відпускна ціна;</w:t>
      </w:r>
    </w:p>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8" w:name="n185"/>
      <w:bookmarkEnd w:id="8"/>
      <w:r w:rsidRPr="0088636D">
        <w:rPr>
          <w:rFonts w:ascii="Times New Roman" w:hAnsi="Times New Roman" w:cs="Times New Roman"/>
          <w:color w:val="333333"/>
          <w:sz w:val="24"/>
          <w:szCs w:val="24"/>
          <w:lang w:val="uk-UA" w:eastAsia="uk-UA"/>
        </w:rPr>
        <w:t>К - кількість добової дози лікарського засобу в упаковці;</w:t>
      </w:r>
    </w:p>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9" w:name="n186"/>
      <w:bookmarkEnd w:id="9"/>
      <w:r w:rsidRPr="0088636D">
        <w:rPr>
          <w:rFonts w:ascii="Times New Roman" w:hAnsi="Times New Roman" w:cs="Times New Roman"/>
          <w:color w:val="333333"/>
          <w:sz w:val="24"/>
          <w:szCs w:val="24"/>
          <w:lang w:val="uk-UA" w:eastAsia="uk-UA"/>
        </w:rPr>
        <w:t>Н</w:t>
      </w:r>
      <w:r w:rsidRPr="0088636D">
        <w:rPr>
          <w:rFonts w:ascii="Times New Roman" w:hAnsi="Times New Roman" w:cs="Times New Roman"/>
          <w:b/>
          <w:bCs/>
          <w:color w:val="333333"/>
          <w:sz w:val="24"/>
          <w:szCs w:val="24"/>
          <w:vertAlign w:val="subscript"/>
          <w:lang w:val="uk-UA" w:eastAsia="uk-UA"/>
        </w:rPr>
        <w:t>о</w:t>
      </w:r>
      <w:r w:rsidRPr="0088636D">
        <w:rPr>
          <w:rFonts w:ascii="Times New Roman" w:hAnsi="Times New Roman" w:cs="Times New Roman"/>
          <w:color w:val="333333"/>
          <w:sz w:val="24"/>
          <w:szCs w:val="24"/>
          <w:lang w:val="uk-UA" w:eastAsia="uk-UA"/>
        </w:rPr>
        <w:t> - гранична постачальницько-збутова надбавка;</w:t>
      </w:r>
    </w:p>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10" w:name="n187"/>
      <w:bookmarkEnd w:id="10"/>
      <w:r w:rsidRPr="0088636D">
        <w:rPr>
          <w:rFonts w:ascii="Times New Roman" w:hAnsi="Times New Roman" w:cs="Times New Roman"/>
          <w:color w:val="333333"/>
          <w:sz w:val="24"/>
          <w:szCs w:val="24"/>
          <w:lang w:val="uk-UA" w:eastAsia="uk-UA"/>
        </w:rPr>
        <w:t>Н</w:t>
      </w:r>
      <w:r w:rsidRPr="0088636D">
        <w:rPr>
          <w:rFonts w:ascii="Times New Roman" w:hAnsi="Times New Roman" w:cs="Times New Roman"/>
          <w:b/>
          <w:bCs/>
          <w:color w:val="333333"/>
          <w:sz w:val="24"/>
          <w:szCs w:val="24"/>
          <w:vertAlign w:val="subscript"/>
          <w:lang w:val="uk-UA" w:eastAsia="uk-UA"/>
        </w:rPr>
        <w:t>р</w:t>
      </w:r>
      <w:r w:rsidRPr="0088636D">
        <w:rPr>
          <w:rFonts w:ascii="Times New Roman" w:hAnsi="Times New Roman" w:cs="Times New Roman"/>
          <w:color w:val="333333"/>
          <w:sz w:val="24"/>
          <w:szCs w:val="24"/>
          <w:lang w:val="uk-UA" w:eastAsia="uk-UA"/>
        </w:rPr>
        <w:t> - гранична торговельна (роздрібна) надбавка;</w:t>
      </w:r>
    </w:p>
    <w:p w:rsidR="0088636D" w:rsidRPr="0088636D" w:rsidRDefault="0088636D" w:rsidP="0088636D">
      <w:pPr>
        <w:shd w:val="clear" w:color="auto" w:fill="FFFFFF"/>
        <w:spacing w:after="150"/>
        <w:ind w:firstLine="450"/>
        <w:jc w:val="both"/>
        <w:rPr>
          <w:rFonts w:ascii="Times New Roman" w:hAnsi="Times New Roman" w:cs="Times New Roman"/>
          <w:color w:val="333333"/>
          <w:sz w:val="24"/>
          <w:szCs w:val="24"/>
          <w:lang w:val="uk-UA" w:eastAsia="uk-UA"/>
        </w:rPr>
      </w:pPr>
      <w:bookmarkStart w:id="11" w:name="n188"/>
      <w:bookmarkEnd w:id="11"/>
      <w:r w:rsidRPr="0088636D">
        <w:rPr>
          <w:rFonts w:ascii="Times New Roman" w:hAnsi="Times New Roman" w:cs="Times New Roman"/>
          <w:color w:val="333333"/>
          <w:sz w:val="24"/>
          <w:szCs w:val="24"/>
          <w:lang w:val="uk-UA" w:eastAsia="uk-UA"/>
        </w:rPr>
        <w:t>ПДВ - податок на додану вартість.</w:t>
      </w:r>
    </w:p>
    <w:p w:rsidR="0088636D" w:rsidRPr="0088636D" w:rsidRDefault="0088636D" w:rsidP="0088636D">
      <w:pPr>
        <w:shd w:val="clear" w:color="auto" w:fill="FFFFFF"/>
        <w:ind w:firstLine="708"/>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Впровадження СРЦ дозволяє вирішити наступні завдання у системі охорони здоров’я та фармації:</w:t>
      </w:r>
    </w:p>
    <w:p w:rsidR="0088636D" w:rsidRPr="0088636D" w:rsidRDefault="0088636D" w:rsidP="008512F9">
      <w:pPr>
        <w:numPr>
          <w:ilvl w:val="0"/>
          <w:numId w:val="21"/>
        </w:numPr>
        <w:shd w:val="clear" w:color="auto" w:fill="FFFFFF"/>
        <w:spacing w:after="0" w:line="240" w:lineRule="auto"/>
        <w:ind w:left="0" w:firstLine="36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підвищити доступність фармацевтичної допомоги населенню за рахунок зниження її вартості шляхом оптимізації цінової політики операторів фармацевтичного ринку з урахуванням СРЦ;</w:t>
      </w:r>
    </w:p>
    <w:p w:rsidR="0088636D" w:rsidRPr="0088636D" w:rsidRDefault="0088636D" w:rsidP="008512F9">
      <w:pPr>
        <w:numPr>
          <w:ilvl w:val="0"/>
          <w:numId w:val="21"/>
        </w:numPr>
        <w:shd w:val="clear" w:color="auto" w:fill="FFFFFF"/>
        <w:spacing w:after="0" w:line="240" w:lineRule="auto"/>
        <w:ind w:left="0" w:firstLine="36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забезпечити рівний доступ населення до гарантованого обсягу фармацевтичної допомоги незалежно від регіону проживання;</w:t>
      </w:r>
    </w:p>
    <w:p w:rsidR="0088636D" w:rsidRPr="0088636D" w:rsidRDefault="0088636D" w:rsidP="008512F9">
      <w:pPr>
        <w:numPr>
          <w:ilvl w:val="0"/>
          <w:numId w:val="21"/>
        </w:numPr>
        <w:shd w:val="clear" w:color="auto" w:fill="FFFFFF"/>
        <w:spacing w:after="0" w:line="240" w:lineRule="auto"/>
        <w:ind w:left="0" w:firstLine="36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раціоналізувати видатки бюджету на фармацевтичне забезпечення населення шляхом чіткого визначення їх обсягів та зменшення компенсації його вартості;</w:t>
      </w:r>
    </w:p>
    <w:p w:rsidR="0088636D" w:rsidRPr="0088636D" w:rsidRDefault="0088636D" w:rsidP="008512F9">
      <w:pPr>
        <w:numPr>
          <w:ilvl w:val="0"/>
          <w:numId w:val="21"/>
        </w:numPr>
        <w:shd w:val="clear" w:color="auto" w:fill="FFFFFF"/>
        <w:spacing w:after="0" w:line="240" w:lineRule="auto"/>
        <w:ind w:left="0" w:firstLine="36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нівелювати суб’єктивний фактор впливу на структуру попиту (заохочення лікарів та фармацевтів до призначення та відпуску окремих лікарських засобів);</w:t>
      </w:r>
    </w:p>
    <w:p w:rsidR="0088636D" w:rsidRPr="0088636D" w:rsidRDefault="0088636D" w:rsidP="008512F9">
      <w:pPr>
        <w:numPr>
          <w:ilvl w:val="0"/>
          <w:numId w:val="21"/>
        </w:numPr>
        <w:shd w:val="clear" w:color="auto" w:fill="FFFFFF"/>
        <w:spacing w:after="0" w:line="240" w:lineRule="auto"/>
        <w:ind w:left="0" w:firstLine="360"/>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забезпечити прозорість та ефективний контроль ціноутворення під час проведення закупівель лікарських засобів за державні кошти.</w:t>
      </w:r>
    </w:p>
    <w:p w:rsidR="0088636D" w:rsidRPr="0088636D" w:rsidRDefault="0088636D" w:rsidP="0088636D">
      <w:pPr>
        <w:shd w:val="clear" w:color="auto" w:fill="FFFFFF"/>
        <w:jc w:val="both"/>
        <w:rPr>
          <w:rFonts w:ascii="Times New Roman" w:hAnsi="Times New Roman" w:cs="Times New Roman"/>
          <w:sz w:val="24"/>
          <w:szCs w:val="24"/>
          <w:lang w:val="uk-UA"/>
        </w:rPr>
      </w:pPr>
    </w:p>
    <w:p w:rsidR="0088636D" w:rsidRPr="0088636D" w:rsidRDefault="0088636D" w:rsidP="008512F9">
      <w:pPr>
        <w:numPr>
          <w:ilvl w:val="0"/>
          <w:numId w:val="15"/>
        </w:numPr>
        <w:shd w:val="clear" w:color="auto" w:fill="FFFFFF"/>
        <w:spacing w:after="0" w:line="240" w:lineRule="auto"/>
        <w:jc w:val="both"/>
        <w:rPr>
          <w:rFonts w:ascii="Times New Roman" w:hAnsi="Times New Roman" w:cs="Times New Roman"/>
          <w:i/>
          <w:sz w:val="24"/>
          <w:szCs w:val="24"/>
          <w:lang w:val="uk-UA"/>
        </w:rPr>
      </w:pPr>
      <w:r w:rsidRPr="0088636D">
        <w:rPr>
          <w:rFonts w:ascii="Times New Roman" w:hAnsi="Times New Roman" w:cs="Times New Roman"/>
          <w:i/>
          <w:sz w:val="24"/>
          <w:szCs w:val="24"/>
          <w:lang w:val="uk-UA"/>
        </w:rPr>
        <w:t>Урядова програма «Доступні ліки»</w:t>
      </w:r>
    </w:p>
    <w:p w:rsidR="0088636D" w:rsidRPr="0088636D" w:rsidRDefault="0088636D" w:rsidP="0088636D">
      <w:pPr>
        <w:pStyle w:val="a7"/>
        <w:shd w:val="clear" w:color="auto" w:fill="FFFFFF"/>
        <w:spacing w:before="0" w:beforeAutospacing="0" w:after="0" w:afterAutospacing="0"/>
        <w:ind w:firstLine="708"/>
        <w:jc w:val="both"/>
        <w:rPr>
          <w:lang w:val="uk-UA" w:eastAsia="ar-SA"/>
        </w:rPr>
      </w:pPr>
    </w:p>
    <w:p w:rsidR="0088636D" w:rsidRPr="0088636D" w:rsidRDefault="0088636D" w:rsidP="0088636D">
      <w:pPr>
        <w:pStyle w:val="a7"/>
        <w:shd w:val="clear" w:color="auto" w:fill="FFFFFF"/>
        <w:spacing w:before="0" w:beforeAutospacing="0" w:after="0" w:afterAutospacing="0"/>
        <w:ind w:firstLine="708"/>
        <w:jc w:val="both"/>
        <w:rPr>
          <w:lang w:val="uk-UA" w:eastAsia="ar-SA"/>
        </w:rPr>
      </w:pPr>
      <w:r w:rsidRPr="0088636D">
        <w:rPr>
          <w:lang w:val="uk-UA" w:eastAsia="ar-SA"/>
        </w:rPr>
        <w:t>З 01 квітня 2019 року Національна служба здоров'я адмініструє урядову програму  реімбурсації лікарських засобів «Доступні ліки» (далі - Програма). Програма була впроваджена у 2017 році для зменшення фінансового навантаження на пацієнтів та збільшення доступності ліків. Сьогодні Програма працює для пацієнтів, які живуть з серцево-судинними захворюваннями, бронхіальною астмою, цукровим  діабетом ІІ типу. До списку ліків, які можна отримати за програмою, включено 254 лікарських засобів, 78 з яких можна отримати безоплатно, інші ж - з незначною доплатою.  До програми долучилися тисячі аптек та аптечних пунктів України. Лікарі первинної ланки виписали понад 9 мільйонів електронних рецептів. За майже 84% із виписаних уже відпущені лікарські засоби.</w:t>
      </w:r>
    </w:p>
    <w:p w:rsidR="0088636D" w:rsidRPr="0088636D" w:rsidRDefault="0088636D" w:rsidP="0088636D">
      <w:pPr>
        <w:pStyle w:val="a7"/>
        <w:shd w:val="clear" w:color="auto" w:fill="FFFFFF"/>
        <w:spacing w:before="0" w:beforeAutospacing="0" w:after="0" w:afterAutospacing="0"/>
        <w:ind w:firstLine="708"/>
        <w:jc w:val="both"/>
        <w:rPr>
          <w:lang w:val="uk-UA" w:eastAsia="ar-SA"/>
        </w:rPr>
      </w:pPr>
      <w:r w:rsidRPr="0088636D">
        <w:rPr>
          <w:lang w:val="uk-UA" w:eastAsia="ar-SA"/>
        </w:rPr>
        <w:t>З переходом програми реімбурсації в адміністрування НСЗУ відшкодування вартості лікарських засобів відбувається за принципом «гроші йдуть за пацієнтом в аптеку». Це можливе, завдяки реалізації програми за новими принципами:</w:t>
      </w:r>
      <w:r w:rsidRPr="0088636D">
        <w:rPr>
          <w:lang w:val="uk-UA" w:eastAsia="ar-SA"/>
        </w:rPr>
        <w:br/>
        <w:t>- єдині прозорі правила укладення договорів – усі аптеки, які відповідають мінімальному набору вимог, мають можливість укласти договір про реімбурсацію з НСЗУ;</w:t>
      </w:r>
    </w:p>
    <w:p w:rsidR="0088636D" w:rsidRPr="0088636D" w:rsidRDefault="0088636D" w:rsidP="0088636D">
      <w:pPr>
        <w:pStyle w:val="a7"/>
        <w:shd w:val="clear" w:color="auto" w:fill="FFFFFF"/>
        <w:spacing w:before="0" w:beforeAutospacing="0" w:after="0" w:afterAutospacing="0"/>
        <w:ind w:firstLine="708"/>
        <w:jc w:val="both"/>
        <w:rPr>
          <w:lang w:val="uk-UA" w:eastAsia="ar-SA"/>
        </w:rPr>
      </w:pPr>
      <w:r w:rsidRPr="0088636D">
        <w:rPr>
          <w:lang w:val="uk-UA" w:eastAsia="ar-SA"/>
        </w:rPr>
        <w:t>- використання електронних інструментів – усі процеси пов'язані з укладенням договору про реімбурсацію та відпуск ліків за електронними рецептами відбуваються в електронній системі охорони здоров'я;</w:t>
      </w:r>
    </w:p>
    <w:p w:rsidR="0088636D" w:rsidRPr="0088636D" w:rsidRDefault="0088636D" w:rsidP="0088636D">
      <w:pPr>
        <w:pStyle w:val="a7"/>
        <w:shd w:val="clear" w:color="auto" w:fill="FFFFFF"/>
        <w:spacing w:before="0" w:beforeAutospacing="0" w:after="0" w:afterAutospacing="0"/>
        <w:ind w:firstLine="708"/>
        <w:jc w:val="both"/>
        <w:rPr>
          <w:lang w:val="uk-UA" w:eastAsia="ar-SA"/>
        </w:rPr>
      </w:pPr>
      <w:r w:rsidRPr="0088636D">
        <w:rPr>
          <w:lang w:val="uk-UA" w:eastAsia="ar-SA"/>
        </w:rPr>
        <w:lastRenderedPageBreak/>
        <w:t>- електронний рецепт – забезпечує мобільність пацієнтів та нівелює географічні обмеження, оскільки отримати ліки можна в будь-якій аптеці чи аптечному пункті, які беруть участь у Програмі, незалежно від місця, де проживає пацієнт або де було виписано рецепт.</w:t>
      </w:r>
    </w:p>
    <w:p w:rsidR="0088636D" w:rsidRPr="0088636D" w:rsidRDefault="0088636D" w:rsidP="0088636D">
      <w:pPr>
        <w:pStyle w:val="a7"/>
        <w:shd w:val="clear" w:color="auto" w:fill="FFFFFF"/>
        <w:spacing w:before="0" w:beforeAutospacing="0" w:after="0" w:afterAutospacing="0"/>
        <w:ind w:firstLine="450"/>
        <w:jc w:val="both"/>
        <w:rPr>
          <w:lang w:val="uk-UA" w:eastAsia="ar-SA"/>
        </w:rPr>
      </w:pPr>
      <w:r w:rsidRPr="0088636D">
        <w:rPr>
          <w:lang w:val="uk-UA" w:eastAsia="ar-SA"/>
        </w:rPr>
        <w:t xml:space="preserve">Щоб укласти договір про реімбурсацію з НСЗУ аптечний заклад має забезпечити наявність: </w:t>
      </w:r>
    </w:p>
    <w:p w:rsidR="0088636D" w:rsidRPr="0088636D" w:rsidRDefault="0088636D" w:rsidP="0088636D">
      <w:pPr>
        <w:pStyle w:val="a7"/>
        <w:shd w:val="clear" w:color="auto" w:fill="FFFFFF"/>
        <w:spacing w:before="0" w:beforeAutospacing="0" w:after="0" w:afterAutospacing="0"/>
        <w:ind w:firstLine="450"/>
        <w:jc w:val="both"/>
        <w:rPr>
          <w:lang w:val="uk-UA" w:eastAsia="ar-SA"/>
        </w:rPr>
      </w:pPr>
      <w:r w:rsidRPr="0088636D">
        <w:rPr>
          <w:lang w:val="uk-UA" w:eastAsia="ar-SA"/>
        </w:rPr>
        <w:t>- ліцензії на право провадження господарської діяльності з роздрібної торгівлі лікарськими засобами;</w:t>
      </w:r>
    </w:p>
    <w:p w:rsidR="0088636D" w:rsidRPr="0088636D" w:rsidRDefault="0088636D" w:rsidP="0088636D">
      <w:pPr>
        <w:pStyle w:val="a7"/>
        <w:shd w:val="clear" w:color="auto" w:fill="FFFFFF"/>
        <w:spacing w:before="0" w:beforeAutospacing="0" w:after="0" w:afterAutospacing="0"/>
        <w:ind w:firstLine="450"/>
        <w:jc w:val="both"/>
        <w:rPr>
          <w:lang w:val="uk-UA" w:eastAsia="ar-SA"/>
        </w:rPr>
      </w:pPr>
      <w:r w:rsidRPr="0088636D">
        <w:rPr>
          <w:lang w:val="uk-UA" w:eastAsia="ar-SA"/>
        </w:rPr>
        <w:t>- комп'ютерів та підключення до інтернету;</w:t>
      </w:r>
    </w:p>
    <w:p w:rsidR="0088636D" w:rsidRPr="0088636D" w:rsidRDefault="0088636D" w:rsidP="0088636D">
      <w:pPr>
        <w:pStyle w:val="a7"/>
        <w:shd w:val="clear" w:color="auto" w:fill="FFFFFF"/>
        <w:spacing w:before="0" w:beforeAutospacing="0" w:after="0" w:afterAutospacing="0"/>
        <w:ind w:firstLine="450"/>
        <w:jc w:val="both"/>
        <w:rPr>
          <w:lang w:val="uk-UA" w:eastAsia="ar-SA"/>
        </w:rPr>
      </w:pPr>
      <w:r w:rsidRPr="0088636D">
        <w:rPr>
          <w:lang w:val="uk-UA" w:eastAsia="ar-SA"/>
        </w:rPr>
        <w:t>- аптечної інформаційної системи (АІС), яка дозволяє обмінюватися інформацією з центральною базою даних електронної системи охорони здоров'я;</w:t>
      </w:r>
    </w:p>
    <w:p w:rsidR="0088636D" w:rsidRPr="0088636D" w:rsidRDefault="0088636D" w:rsidP="0088636D">
      <w:pPr>
        <w:pStyle w:val="a7"/>
        <w:shd w:val="clear" w:color="auto" w:fill="FFFFFF"/>
        <w:spacing w:before="0" w:beforeAutospacing="0" w:after="0" w:afterAutospacing="0"/>
        <w:ind w:firstLine="450"/>
        <w:jc w:val="both"/>
        <w:rPr>
          <w:lang w:val="uk-UA" w:eastAsia="ar-SA"/>
        </w:rPr>
      </w:pPr>
      <w:r w:rsidRPr="0088636D">
        <w:rPr>
          <w:lang w:val="uk-UA" w:eastAsia="ar-SA"/>
        </w:rPr>
        <w:t>- кваліфікованих електронних підписів у всіх працівників, які відпускатимуть лікарські засоби за електронними рецептами.</w:t>
      </w:r>
    </w:p>
    <w:p w:rsidR="0088636D" w:rsidRPr="0088636D" w:rsidRDefault="0088636D" w:rsidP="0088636D">
      <w:pPr>
        <w:shd w:val="clear" w:color="auto" w:fill="FFFFFF"/>
        <w:spacing w:before="300" w:after="450"/>
        <w:ind w:left="450" w:right="450"/>
        <w:jc w:val="center"/>
        <w:rPr>
          <w:rFonts w:ascii="Times New Roman" w:hAnsi="Times New Roman" w:cs="Times New Roman"/>
          <w:sz w:val="24"/>
          <w:szCs w:val="24"/>
          <w:lang w:val="uk-UA"/>
        </w:rPr>
      </w:pPr>
      <w:r w:rsidRPr="0088636D">
        <w:rPr>
          <w:rFonts w:ascii="Times New Roman" w:hAnsi="Times New Roman" w:cs="Times New Roman"/>
          <w:sz w:val="24"/>
          <w:szCs w:val="24"/>
          <w:lang w:val="uk-UA"/>
        </w:rPr>
        <w:t>ПЕРЕЛІК</w:t>
      </w:r>
      <w:r w:rsidRPr="0088636D">
        <w:rPr>
          <w:rFonts w:ascii="Times New Roman" w:hAnsi="Times New Roman" w:cs="Times New Roman"/>
          <w:sz w:val="24"/>
          <w:szCs w:val="24"/>
          <w:lang w:val="uk-UA"/>
        </w:rPr>
        <w:br/>
        <w:t>міжнародних непатентованих назв лікарських засобів, що включені до Реєстру лікарських засобів, які підлягають реімбурсації за програмою «Доступні ліки»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4A0" w:firstRow="1" w:lastRow="0" w:firstColumn="1" w:lastColumn="0" w:noHBand="0" w:noVBand="1"/>
      </w:tblPr>
      <w:tblGrid>
        <w:gridCol w:w="5627"/>
        <w:gridCol w:w="4414"/>
      </w:tblGrid>
      <w:tr w:rsidR="0088636D" w:rsidRPr="0088636D" w:rsidTr="00956B42">
        <w:tc>
          <w:tcPr>
            <w:tcW w:w="6615" w:type="dxa"/>
            <w:hideMark/>
          </w:tcPr>
          <w:p w:rsidR="0088636D" w:rsidRPr="0088636D" w:rsidRDefault="0088636D" w:rsidP="00956B42">
            <w:pPr>
              <w:jc w:val="center"/>
              <w:rPr>
                <w:rFonts w:ascii="Times New Roman" w:hAnsi="Times New Roman" w:cs="Times New Roman"/>
                <w:sz w:val="24"/>
                <w:szCs w:val="24"/>
                <w:lang w:val="uk-UA" w:eastAsia="uk-UA"/>
              </w:rPr>
            </w:pPr>
            <w:bookmarkStart w:id="12" w:name="n258"/>
            <w:bookmarkEnd w:id="12"/>
            <w:r w:rsidRPr="0088636D">
              <w:rPr>
                <w:rFonts w:ascii="Times New Roman" w:hAnsi="Times New Roman" w:cs="Times New Roman"/>
                <w:sz w:val="24"/>
                <w:szCs w:val="24"/>
                <w:lang w:val="uk-UA" w:eastAsia="uk-UA"/>
              </w:rPr>
              <w:t>Міжнародна непатентована назва</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Форма випуску</w:t>
            </w:r>
          </w:p>
        </w:tc>
      </w:tr>
      <w:tr w:rsidR="0088636D" w:rsidRPr="0088636D" w:rsidTr="00956B42">
        <w:tc>
          <w:tcPr>
            <w:tcW w:w="11865" w:type="dxa"/>
            <w:gridSpan w:val="2"/>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Серцево-судинні захворювання</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Аміодарон (Amiodarone)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w:t>
            </w:r>
          </w:p>
        </w:tc>
      </w:tr>
      <w:tr w:rsidR="0088636D" w:rsidRPr="0088636D" w:rsidTr="00956B42">
        <w:trPr>
          <w:trHeight w:val="450"/>
        </w:trPr>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Амлодипін (Amlodipine)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Атенолол (Atenolol)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Бісопролол (Bisoprolol)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Верапаміл (Verapamil)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Гідрохлортіазид (Hydrochlorothiazide)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Дигоксин (Digoxin)</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 розчин оральний</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Еналаприл (Enalapril)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Ізосорбіду динітрат (Isosorbide dinitrate)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 (сублінгвальні)</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Карведилол (Carvedilol)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Клопідогрель (Clopidogrel)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Лозартан (Losartan)</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Метопролол (Metoprolol)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lastRenderedPageBreak/>
              <w:t>Нітрогліцерин (Glyceryl trinitrate)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 (сублінгвальні)</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Симвастатин (Simvastatin)</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Спіронолактон (Spironolactone)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Фуросемід (Furosemide)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11865" w:type="dxa"/>
            <w:gridSpan w:val="2"/>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Цукровий діабет II типу</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Глібенкламід (Glibenclamide)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Гліклазид (Gliclazide)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Метформін (Metformin)</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r w:rsidR="0088636D" w:rsidRPr="0088636D" w:rsidTr="00956B42">
        <w:tc>
          <w:tcPr>
            <w:tcW w:w="11865" w:type="dxa"/>
            <w:gridSpan w:val="2"/>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Бронхіальна астма</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Беклометазон (Beclometasone)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аерозоль для інгаляцій</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Будесонід (Budesonide)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порошок для інгаляцій дозований, суспензія для розпилення</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Сальбутамол (Salbutamol)</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аерозоль для інгаляцій, розчин для інгаляцій</w:t>
            </w:r>
          </w:p>
        </w:tc>
      </w:tr>
      <w:tr w:rsidR="0088636D" w:rsidRPr="0088636D" w:rsidTr="00956B42">
        <w:tc>
          <w:tcPr>
            <w:tcW w:w="11865" w:type="dxa"/>
            <w:gridSpan w:val="2"/>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Ревматичні хвороби</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Хлорохін (Chloroquine)*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таблетки</w:t>
            </w:r>
          </w:p>
        </w:tc>
      </w:tr>
      <w:tr w:rsidR="0088636D" w:rsidRPr="0088636D" w:rsidTr="00956B42">
        <w:tc>
          <w:tcPr>
            <w:tcW w:w="6615" w:type="dxa"/>
            <w:hideMark/>
          </w:tcPr>
          <w:p w:rsidR="0088636D" w:rsidRPr="0088636D" w:rsidRDefault="0088636D" w:rsidP="00956B42">
            <w:pP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Гідроксихлорохін (Hydroxychloroquine)*</w:t>
            </w:r>
          </w:p>
        </w:tc>
        <w:tc>
          <w:tcPr>
            <w:tcW w:w="5130" w:type="dxa"/>
            <w:hideMark/>
          </w:tcPr>
          <w:p w:rsidR="0088636D" w:rsidRPr="0088636D" w:rsidRDefault="0088636D" w:rsidP="00956B42">
            <w:pPr>
              <w:jc w:val="center"/>
              <w:rPr>
                <w:rFonts w:ascii="Times New Roman" w:hAnsi="Times New Roman" w:cs="Times New Roman"/>
                <w:sz w:val="24"/>
                <w:szCs w:val="24"/>
                <w:lang w:val="uk-UA" w:eastAsia="uk-UA"/>
              </w:rPr>
            </w:pPr>
            <w:r w:rsidRPr="0088636D">
              <w:rPr>
                <w:rFonts w:ascii="Times New Roman" w:hAnsi="Times New Roman" w:cs="Times New Roman"/>
                <w:sz w:val="24"/>
                <w:szCs w:val="24"/>
                <w:lang w:val="uk-UA" w:eastAsia="uk-UA"/>
              </w:rPr>
              <w:t>-"-</w:t>
            </w:r>
          </w:p>
        </w:tc>
      </w:tr>
    </w:tbl>
    <w:p w:rsidR="0088636D" w:rsidRPr="0088636D" w:rsidRDefault="0088636D" w:rsidP="0088636D">
      <w:pPr>
        <w:shd w:val="clear" w:color="auto" w:fill="FFFFFF"/>
        <w:jc w:val="both"/>
        <w:rPr>
          <w:rFonts w:ascii="Times New Roman" w:hAnsi="Times New Roman" w:cs="Times New Roman"/>
          <w:sz w:val="24"/>
          <w:szCs w:val="24"/>
          <w:lang w:val="uk-UA"/>
        </w:rPr>
      </w:pPr>
    </w:p>
    <w:p w:rsidR="0088636D" w:rsidRPr="0088636D" w:rsidRDefault="0088636D" w:rsidP="0088636D">
      <w:pPr>
        <w:jc w:val="both"/>
        <w:rPr>
          <w:rFonts w:ascii="Times New Roman" w:hAnsi="Times New Roman" w:cs="Times New Roman"/>
          <w:b/>
          <w:bCs/>
          <w:iCs/>
          <w:sz w:val="24"/>
          <w:szCs w:val="24"/>
          <w:lang w:val="uk-UA"/>
        </w:rPr>
      </w:pPr>
      <w:r w:rsidRPr="0088636D">
        <w:rPr>
          <w:rFonts w:ascii="Times New Roman" w:hAnsi="Times New Roman" w:cs="Times New Roman"/>
          <w:b/>
          <w:bCs/>
          <w:iCs/>
          <w:sz w:val="24"/>
          <w:szCs w:val="24"/>
          <w:lang w:val="uk-UA"/>
        </w:rPr>
        <w:t xml:space="preserve">Матеріали щодо активації здобувачів вищої освіти під час проведення лекції: </w:t>
      </w:r>
    </w:p>
    <w:p w:rsidR="0088636D" w:rsidRPr="0088636D" w:rsidRDefault="0088636D" w:rsidP="0088636D">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1. </w:t>
      </w:r>
      <w:r w:rsidRPr="0088636D">
        <w:rPr>
          <w:rFonts w:ascii="Times New Roman" w:hAnsi="Times New Roman" w:cs="Times New Roman"/>
          <w:sz w:val="24"/>
          <w:szCs w:val="24"/>
        </w:rPr>
        <w:t xml:space="preserve">Укажіть на якому рівні управління в Україні здійснюється регулювання цін на ЛЗ і вироби медичного призначення.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A</w:t>
      </w:r>
      <w:r w:rsidRPr="0088636D">
        <w:rPr>
          <w:rFonts w:ascii="Times New Roman" w:hAnsi="Times New Roman" w:cs="Times New Roman"/>
          <w:sz w:val="24"/>
          <w:szCs w:val="24"/>
          <w:lang w:val="uk-UA"/>
        </w:rPr>
        <w:t xml:space="preserve">. Регіональний рівень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B</w:t>
      </w:r>
      <w:r w:rsidRPr="0088636D">
        <w:rPr>
          <w:rFonts w:ascii="Times New Roman" w:hAnsi="Times New Roman" w:cs="Times New Roman"/>
          <w:sz w:val="24"/>
          <w:szCs w:val="24"/>
          <w:lang w:val="uk-UA"/>
        </w:rPr>
        <w:t xml:space="preserve">. Загальнодержавний рівень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C</w:t>
      </w:r>
      <w:r w:rsidRPr="0088636D">
        <w:rPr>
          <w:rFonts w:ascii="Times New Roman" w:hAnsi="Times New Roman" w:cs="Times New Roman"/>
          <w:sz w:val="24"/>
          <w:szCs w:val="24"/>
          <w:lang w:val="uk-UA"/>
        </w:rPr>
        <w:t xml:space="preserve">. Загальнодержавний і регіональний рівні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D</w:t>
      </w:r>
      <w:r w:rsidRPr="0088636D">
        <w:rPr>
          <w:rFonts w:ascii="Times New Roman" w:hAnsi="Times New Roman" w:cs="Times New Roman"/>
          <w:sz w:val="24"/>
          <w:szCs w:val="24"/>
          <w:lang w:val="uk-UA"/>
        </w:rPr>
        <w:t xml:space="preserve">. Місцевий рівень і рівень підприємства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E</w:t>
      </w:r>
      <w:r w:rsidRPr="0088636D">
        <w:rPr>
          <w:rFonts w:ascii="Times New Roman" w:hAnsi="Times New Roman" w:cs="Times New Roman"/>
          <w:sz w:val="24"/>
          <w:szCs w:val="24"/>
          <w:lang w:val="uk-UA"/>
        </w:rPr>
        <w:t xml:space="preserve">. Рівень підприємства </w:t>
      </w:r>
    </w:p>
    <w:p w:rsidR="0088636D" w:rsidRPr="0088636D" w:rsidRDefault="0088636D" w:rsidP="0088636D">
      <w:pPr>
        <w:rPr>
          <w:rFonts w:ascii="Times New Roman" w:hAnsi="Times New Roman" w:cs="Times New Roman"/>
          <w:sz w:val="24"/>
          <w:szCs w:val="24"/>
          <w:lang w:val="uk-UA"/>
        </w:rPr>
      </w:pPr>
      <w:r w:rsidRPr="0088636D">
        <w:rPr>
          <w:rFonts w:ascii="Times New Roman" w:hAnsi="Times New Roman" w:cs="Times New Roman"/>
          <w:sz w:val="24"/>
          <w:szCs w:val="24"/>
          <w:lang w:val="uk-UA"/>
        </w:rPr>
        <w:lastRenderedPageBreak/>
        <w:t xml:space="preserve">2. В Україні одним з основних соціально-економічних механізмів регулювання доступності лікарських препаратів для населення є.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A</w:t>
      </w:r>
      <w:r w:rsidRPr="0088636D">
        <w:rPr>
          <w:rFonts w:ascii="Times New Roman" w:hAnsi="Times New Roman" w:cs="Times New Roman"/>
          <w:sz w:val="24"/>
          <w:szCs w:val="24"/>
          <w:lang w:val="uk-UA"/>
        </w:rPr>
        <w:t xml:space="preserve">. ціноутворення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B</w:t>
      </w:r>
      <w:r w:rsidRPr="0088636D">
        <w:rPr>
          <w:rFonts w:ascii="Times New Roman" w:hAnsi="Times New Roman" w:cs="Times New Roman"/>
          <w:sz w:val="24"/>
          <w:szCs w:val="24"/>
          <w:lang w:val="uk-UA"/>
        </w:rPr>
        <w:t xml:space="preserve">. ліцензування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C</w:t>
      </w:r>
      <w:r w:rsidRPr="0088636D">
        <w:rPr>
          <w:rFonts w:ascii="Times New Roman" w:hAnsi="Times New Roman" w:cs="Times New Roman"/>
          <w:sz w:val="24"/>
          <w:szCs w:val="24"/>
          <w:lang w:val="uk-UA"/>
        </w:rPr>
        <w:t xml:space="preserve">. сертифікація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D</w:t>
      </w:r>
      <w:r w:rsidRPr="0088636D">
        <w:rPr>
          <w:rFonts w:ascii="Times New Roman" w:hAnsi="Times New Roman" w:cs="Times New Roman"/>
          <w:sz w:val="24"/>
          <w:szCs w:val="24"/>
          <w:lang w:val="uk-UA"/>
        </w:rPr>
        <w:t xml:space="preserve">. реєстрація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E</w:t>
      </w:r>
      <w:r w:rsidRPr="0088636D">
        <w:rPr>
          <w:rFonts w:ascii="Times New Roman" w:hAnsi="Times New Roman" w:cs="Times New Roman"/>
          <w:sz w:val="24"/>
          <w:szCs w:val="24"/>
          <w:lang w:val="uk-UA"/>
        </w:rPr>
        <w:t>. квотування</w:t>
      </w:r>
    </w:p>
    <w:p w:rsidR="0088636D" w:rsidRPr="0088636D" w:rsidRDefault="0088636D" w:rsidP="0088636D">
      <w:pPr>
        <w:rPr>
          <w:rFonts w:ascii="Times New Roman" w:hAnsi="Times New Roman" w:cs="Times New Roman"/>
          <w:sz w:val="24"/>
          <w:szCs w:val="24"/>
          <w:lang w:val="uk-UA"/>
        </w:rPr>
      </w:pPr>
    </w:p>
    <w:p w:rsidR="0088636D" w:rsidRPr="0088636D" w:rsidRDefault="0088636D" w:rsidP="0088636D">
      <w:pPr>
        <w:rPr>
          <w:rFonts w:ascii="Times New Roman" w:hAnsi="Times New Roman" w:cs="Times New Roman"/>
          <w:sz w:val="24"/>
          <w:szCs w:val="24"/>
          <w:lang w:val="uk-UA"/>
        </w:rPr>
      </w:pPr>
    </w:p>
    <w:p w:rsidR="0088636D" w:rsidRPr="0088636D" w:rsidRDefault="0088636D" w:rsidP="0088636D">
      <w:pPr>
        <w:rPr>
          <w:rFonts w:ascii="Times New Roman" w:hAnsi="Times New Roman" w:cs="Times New Roman"/>
          <w:sz w:val="24"/>
          <w:szCs w:val="24"/>
          <w:lang w:val="uk-UA"/>
        </w:rPr>
      </w:pPr>
      <w:r w:rsidRPr="0088636D">
        <w:rPr>
          <w:rFonts w:ascii="Times New Roman" w:hAnsi="Times New Roman" w:cs="Times New Roman"/>
          <w:sz w:val="24"/>
          <w:szCs w:val="24"/>
          <w:lang w:val="uk-UA"/>
        </w:rPr>
        <w:t xml:space="preserve">3. Вкажіть перелік, згідно з яким здійснюється державне регулювання цін на лікарські засоби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A</w:t>
      </w:r>
      <w:r w:rsidRPr="0088636D">
        <w:rPr>
          <w:rFonts w:ascii="Times New Roman" w:hAnsi="Times New Roman" w:cs="Times New Roman"/>
          <w:sz w:val="24"/>
          <w:szCs w:val="24"/>
          <w:lang w:val="uk-UA"/>
        </w:rPr>
        <w:t xml:space="preserve">. Національний перелік основних лікарських засобів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B</w:t>
      </w:r>
      <w:r w:rsidRPr="0088636D">
        <w:rPr>
          <w:rFonts w:ascii="Times New Roman" w:hAnsi="Times New Roman" w:cs="Times New Roman"/>
          <w:sz w:val="24"/>
          <w:szCs w:val="24"/>
          <w:lang w:val="uk-UA"/>
        </w:rPr>
        <w:t xml:space="preserve">. Державний формуляр лікарських засобів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C</w:t>
      </w:r>
      <w:r w:rsidRPr="0088636D">
        <w:rPr>
          <w:rFonts w:ascii="Times New Roman" w:hAnsi="Times New Roman" w:cs="Times New Roman"/>
          <w:sz w:val="24"/>
          <w:szCs w:val="24"/>
          <w:lang w:val="uk-UA"/>
        </w:rPr>
        <w:t xml:space="preserve">. Перелік лікарських засобів, дозволених до застосування в Україні, які відпускаються без рецептів з аптек та їх структурних підрозділів </w:t>
      </w:r>
    </w:p>
    <w:p w:rsidR="0088636D" w:rsidRPr="0088636D" w:rsidRDefault="0088636D" w:rsidP="0088636D">
      <w:pPr>
        <w:ind w:left="1416"/>
        <w:rPr>
          <w:rFonts w:ascii="Times New Roman" w:hAnsi="Times New Roman" w:cs="Times New Roman"/>
          <w:sz w:val="24"/>
          <w:szCs w:val="24"/>
          <w:lang w:val="uk-UA"/>
        </w:rPr>
      </w:pPr>
      <w:r w:rsidRPr="0088636D">
        <w:rPr>
          <w:rFonts w:ascii="Times New Roman" w:hAnsi="Times New Roman" w:cs="Times New Roman"/>
          <w:sz w:val="24"/>
          <w:szCs w:val="24"/>
        </w:rPr>
        <w:t>D</w:t>
      </w:r>
      <w:r w:rsidRPr="0088636D">
        <w:rPr>
          <w:rFonts w:ascii="Times New Roman" w:hAnsi="Times New Roman" w:cs="Times New Roman"/>
          <w:sz w:val="24"/>
          <w:szCs w:val="24"/>
          <w:lang w:val="uk-UA"/>
        </w:rPr>
        <w:t xml:space="preserve">. Перелік отруйних лікарських засобів </w:t>
      </w:r>
    </w:p>
    <w:p w:rsidR="0088636D" w:rsidRPr="0088636D" w:rsidRDefault="0088636D" w:rsidP="0088636D">
      <w:pPr>
        <w:pStyle w:val="docdata"/>
        <w:spacing w:before="0" w:beforeAutospacing="0" w:after="0" w:afterAutospacing="0"/>
        <w:jc w:val="both"/>
        <w:rPr>
          <w:color w:val="000000"/>
        </w:rPr>
      </w:pPr>
      <w:r w:rsidRPr="0088636D">
        <w:rPr>
          <w:b/>
          <w:bCs/>
          <w:color w:val="000000"/>
        </w:rPr>
        <w:t>Загальне матеріальне та навально-методичне забезпечення лекції:</w:t>
      </w:r>
    </w:p>
    <w:p w:rsidR="0088636D" w:rsidRPr="0088636D" w:rsidRDefault="0088636D" w:rsidP="008512F9">
      <w:pPr>
        <w:pStyle w:val="a8"/>
        <w:numPr>
          <w:ilvl w:val="0"/>
          <w:numId w:val="5"/>
        </w:numPr>
        <w:suppressAutoHyphens/>
        <w:ind w:left="0" w:firstLine="0"/>
        <w:rPr>
          <w:color w:val="000000"/>
          <w:lang w:val="uk-UA"/>
        </w:rPr>
      </w:pPr>
      <w:r w:rsidRPr="0088636D">
        <w:rPr>
          <w:color w:val="000000"/>
          <w:lang w:val="uk-UA"/>
        </w:rPr>
        <w:t>лекційна аудиторія (очна форма навчання)</w:t>
      </w:r>
    </w:p>
    <w:p w:rsidR="0088636D" w:rsidRPr="0088636D" w:rsidRDefault="0088636D" w:rsidP="0088636D">
      <w:pPr>
        <w:pStyle w:val="a8"/>
        <w:numPr>
          <w:ilvl w:val="0"/>
          <w:numId w:val="3"/>
        </w:numPr>
        <w:tabs>
          <w:tab w:val="clear" w:pos="1800"/>
          <w:tab w:val="num" w:pos="1440"/>
        </w:tabs>
        <w:suppressAutoHyphens/>
        <w:ind w:left="0" w:firstLine="0"/>
        <w:rPr>
          <w:color w:val="000000"/>
          <w:lang w:val="uk-UA"/>
        </w:rPr>
      </w:pPr>
      <w:r w:rsidRPr="0088636D">
        <w:rPr>
          <w:color w:val="000000"/>
          <w:lang w:val="uk-UA"/>
        </w:rPr>
        <w:t xml:space="preserve">навчальний клас на платформі </w:t>
      </w:r>
      <w:r w:rsidRPr="0088636D">
        <w:rPr>
          <w:color w:val="000000"/>
          <w:lang w:val="en-US"/>
        </w:rPr>
        <w:t>MS</w:t>
      </w:r>
      <w:r w:rsidRPr="0088636D">
        <w:rPr>
          <w:color w:val="000000"/>
          <w:lang w:val="uk-UA"/>
        </w:rPr>
        <w:t xml:space="preserve"> </w:t>
      </w:r>
      <w:r w:rsidRPr="0088636D">
        <w:rPr>
          <w:color w:val="000000"/>
          <w:lang w:val="en-US"/>
        </w:rPr>
        <w:t>Teams</w:t>
      </w:r>
      <w:r w:rsidRPr="0088636D">
        <w:rPr>
          <w:color w:val="000000"/>
          <w:lang w:val="uk-UA"/>
        </w:rPr>
        <w:t xml:space="preserve"> (дистанційна форма навчання)</w:t>
      </w:r>
    </w:p>
    <w:p w:rsidR="0088636D" w:rsidRPr="0088636D" w:rsidRDefault="0088636D" w:rsidP="0088636D">
      <w:pPr>
        <w:numPr>
          <w:ilvl w:val="0"/>
          <w:numId w:val="3"/>
        </w:numPr>
        <w:spacing w:after="0" w:line="240" w:lineRule="auto"/>
        <w:ind w:left="0" w:firstLine="0"/>
        <w:jc w:val="both"/>
        <w:rPr>
          <w:rFonts w:ascii="Times New Roman" w:hAnsi="Times New Roman" w:cs="Times New Roman"/>
          <w:b/>
          <w:color w:val="000000"/>
          <w:sz w:val="24"/>
          <w:szCs w:val="24"/>
          <w:lang w:val="uk-UA"/>
        </w:rPr>
      </w:pPr>
      <w:r w:rsidRPr="0088636D">
        <w:rPr>
          <w:rFonts w:ascii="Times New Roman" w:hAnsi="Times New Roman" w:cs="Times New Roman"/>
          <w:color w:val="000000"/>
          <w:sz w:val="24"/>
          <w:szCs w:val="24"/>
          <w:lang w:val="uk-UA"/>
        </w:rPr>
        <w:t xml:space="preserve"> </w:t>
      </w:r>
      <w:r w:rsidRPr="0088636D">
        <w:rPr>
          <w:rFonts w:ascii="Times New Roman" w:hAnsi="Times New Roman" w:cs="Times New Roman"/>
          <w:b/>
          <w:color w:val="000000"/>
          <w:sz w:val="24"/>
          <w:szCs w:val="24"/>
          <w:lang w:val="uk-UA"/>
        </w:rPr>
        <w:t>обладнання:</w:t>
      </w:r>
    </w:p>
    <w:p w:rsidR="0088636D" w:rsidRPr="0088636D" w:rsidRDefault="0088636D" w:rsidP="0088636D">
      <w:pPr>
        <w:rPr>
          <w:rFonts w:ascii="Times New Roman" w:hAnsi="Times New Roman" w:cs="Times New Roman"/>
          <w:color w:val="000000"/>
          <w:sz w:val="24"/>
          <w:szCs w:val="24"/>
          <w:lang w:val="uk-UA"/>
        </w:rPr>
      </w:pPr>
      <w:r w:rsidRPr="0088636D">
        <w:rPr>
          <w:rFonts w:ascii="Times New Roman" w:hAnsi="Times New Roman" w:cs="Times New Roman"/>
          <w:color w:val="000000"/>
          <w:sz w:val="24"/>
          <w:szCs w:val="24"/>
          <w:lang w:val="uk-UA"/>
        </w:rPr>
        <w:t>мультимедійний проектор</w:t>
      </w:r>
    </w:p>
    <w:p w:rsidR="0088636D" w:rsidRPr="0088636D" w:rsidRDefault="0088636D" w:rsidP="0088636D">
      <w:pPr>
        <w:numPr>
          <w:ilvl w:val="0"/>
          <w:numId w:val="3"/>
        </w:numPr>
        <w:spacing w:after="0" w:line="240" w:lineRule="auto"/>
        <w:ind w:left="0" w:firstLine="0"/>
        <w:jc w:val="both"/>
        <w:rPr>
          <w:rFonts w:ascii="Times New Roman" w:hAnsi="Times New Roman" w:cs="Times New Roman"/>
          <w:color w:val="000000"/>
          <w:sz w:val="24"/>
          <w:szCs w:val="24"/>
          <w:lang w:val="uk-UA"/>
        </w:rPr>
      </w:pPr>
      <w:r w:rsidRPr="0088636D">
        <w:rPr>
          <w:rFonts w:ascii="Times New Roman" w:hAnsi="Times New Roman" w:cs="Times New Roman"/>
          <w:b/>
          <w:color w:val="000000"/>
          <w:sz w:val="24"/>
          <w:szCs w:val="24"/>
          <w:lang w:val="uk-UA"/>
        </w:rPr>
        <w:t xml:space="preserve"> устаткування:</w:t>
      </w:r>
    </w:p>
    <w:p w:rsidR="0088636D" w:rsidRPr="0088636D" w:rsidRDefault="0088636D" w:rsidP="0088636D">
      <w:pPr>
        <w:rPr>
          <w:rFonts w:ascii="Times New Roman" w:hAnsi="Times New Roman" w:cs="Times New Roman"/>
          <w:color w:val="000000"/>
          <w:sz w:val="24"/>
          <w:szCs w:val="24"/>
          <w:lang w:val="uk-UA"/>
        </w:rPr>
      </w:pPr>
      <w:r w:rsidRPr="0088636D">
        <w:rPr>
          <w:rFonts w:ascii="Times New Roman" w:hAnsi="Times New Roman" w:cs="Times New Roman"/>
          <w:color w:val="000000"/>
          <w:sz w:val="24"/>
          <w:szCs w:val="24"/>
          <w:lang w:val="uk-UA"/>
        </w:rPr>
        <w:t>персональний комп’ютер</w:t>
      </w:r>
    </w:p>
    <w:p w:rsidR="0088636D" w:rsidRPr="0088636D" w:rsidRDefault="0088636D" w:rsidP="0088636D">
      <w:pPr>
        <w:numPr>
          <w:ilvl w:val="0"/>
          <w:numId w:val="3"/>
        </w:numPr>
        <w:spacing w:after="0" w:line="240" w:lineRule="auto"/>
        <w:ind w:left="0" w:firstLine="0"/>
        <w:jc w:val="both"/>
        <w:rPr>
          <w:rFonts w:ascii="Times New Roman" w:hAnsi="Times New Roman" w:cs="Times New Roman"/>
          <w:b/>
          <w:color w:val="000000"/>
          <w:sz w:val="24"/>
          <w:szCs w:val="24"/>
          <w:lang w:val="uk-UA"/>
        </w:rPr>
      </w:pPr>
      <w:r w:rsidRPr="0088636D">
        <w:rPr>
          <w:rFonts w:ascii="Times New Roman" w:hAnsi="Times New Roman" w:cs="Times New Roman"/>
          <w:b/>
          <w:color w:val="000000"/>
          <w:sz w:val="24"/>
          <w:szCs w:val="24"/>
          <w:lang w:val="uk-UA"/>
        </w:rPr>
        <w:t>ілюстративні матеріали:</w:t>
      </w:r>
    </w:p>
    <w:p w:rsidR="0088636D" w:rsidRPr="0088636D" w:rsidRDefault="0088636D" w:rsidP="0088636D">
      <w:pPr>
        <w:pStyle w:val="a8"/>
        <w:numPr>
          <w:ilvl w:val="0"/>
          <w:numId w:val="3"/>
        </w:numPr>
        <w:tabs>
          <w:tab w:val="clear" w:pos="1800"/>
        </w:tabs>
        <w:suppressAutoHyphens/>
        <w:ind w:left="0" w:firstLine="0"/>
        <w:rPr>
          <w:color w:val="000000"/>
          <w:lang w:val="uk-UA"/>
        </w:rPr>
      </w:pPr>
      <w:r w:rsidRPr="0088636D">
        <w:rPr>
          <w:color w:val="000000"/>
          <w:lang w:val="uk-UA"/>
        </w:rPr>
        <w:t>мультимедійна презентація</w:t>
      </w:r>
    </w:p>
    <w:p w:rsidR="0088636D" w:rsidRPr="0088636D" w:rsidRDefault="0088636D" w:rsidP="0088636D">
      <w:pPr>
        <w:pStyle w:val="a7"/>
        <w:spacing w:before="0" w:beforeAutospacing="0" w:after="0" w:afterAutospacing="0"/>
        <w:jc w:val="both"/>
        <w:rPr>
          <w:color w:val="000000"/>
        </w:rPr>
      </w:pPr>
      <w:r w:rsidRPr="0088636D">
        <w:rPr>
          <w:color w:val="000000"/>
        </w:rPr>
        <w:t> </w:t>
      </w:r>
    </w:p>
    <w:p w:rsidR="0088636D" w:rsidRPr="0088636D" w:rsidRDefault="0088636D" w:rsidP="0088636D">
      <w:pPr>
        <w:pStyle w:val="a7"/>
        <w:spacing w:before="0" w:beforeAutospacing="0" w:after="0" w:afterAutospacing="0"/>
        <w:rPr>
          <w:color w:val="000000"/>
        </w:rPr>
      </w:pPr>
      <w:r w:rsidRPr="0088636D">
        <w:rPr>
          <w:b/>
          <w:bCs/>
          <w:color w:val="000000"/>
        </w:rPr>
        <w:t>Питання для самоконтролю:</w:t>
      </w:r>
    </w:p>
    <w:p w:rsidR="0088636D" w:rsidRPr="0088636D" w:rsidRDefault="0088636D" w:rsidP="008512F9">
      <w:pPr>
        <w:numPr>
          <w:ilvl w:val="1"/>
          <w:numId w:val="18"/>
        </w:numPr>
        <w:suppressAutoHyphens/>
        <w:spacing w:after="0" w:line="240" w:lineRule="auto"/>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Надайте визначення терміну «доступність лікарського засобу», «реімбурсація», «референтне ціноутворення»</w:t>
      </w:r>
    </w:p>
    <w:p w:rsidR="0088636D" w:rsidRPr="0088636D" w:rsidRDefault="0088636D" w:rsidP="008512F9">
      <w:pPr>
        <w:numPr>
          <w:ilvl w:val="1"/>
          <w:numId w:val="18"/>
        </w:numPr>
        <w:suppressAutoHyphens/>
        <w:spacing w:after="0" w:line="240" w:lineRule="auto"/>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Які види доступності Ви знаєте?</w:t>
      </w:r>
    </w:p>
    <w:p w:rsidR="0088636D" w:rsidRPr="0088636D" w:rsidRDefault="0088636D" w:rsidP="008512F9">
      <w:pPr>
        <w:numPr>
          <w:ilvl w:val="1"/>
          <w:numId w:val="18"/>
        </w:numPr>
        <w:suppressAutoHyphens/>
        <w:spacing w:after="0" w:line="240" w:lineRule="auto"/>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Які групи ЛЗ входять до Реєстру ЛЗ, вартість яких підлягає реімбурсації?</w:t>
      </w:r>
    </w:p>
    <w:p w:rsidR="0088636D" w:rsidRDefault="0088636D" w:rsidP="008512F9">
      <w:pPr>
        <w:numPr>
          <w:ilvl w:val="1"/>
          <w:numId w:val="18"/>
        </w:numPr>
        <w:suppressAutoHyphens/>
        <w:spacing w:after="0" w:line="240" w:lineRule="auto"/>
        <w:jc w:val="both"/>
        <w:rPr>
          <w:rFonts w:ascii="Times New Roman" w:hAnsi="Times New Roman" w:cs="Times New Roman"/>
          <w:sz w:val="24"/>
          <w:szCs w:val="24"/>
          <w:lang w:val="uk-UA"/>
        </w:rPr>
      </w:pPr>
      <w:r w:rsidRPr="0088636D">
        <w:rPr>
          <w:rFonts w:ascii="Times New Roman" w:hAnsi="Times New Roman" w:cs="Times New Roman"/>
          <w:sz w:val="24"/>
          <w:szCs w:val="24"/>
          <w:lang w:val="uk-UA"/>
        </w:rPr>
        <w:t>Який державний орган адмініструє урядову програму «Доступні ліки»?</w:t>
      </w:r>
    </w:p>
    <w:p w:rsidR="0088636D" w:rsidRPr="0088636D" w:rsidRDefault="0088636D" w:rsidP="0088636D">
      <w:pPr>
        <w:suppressAutoHyphens/>
        <w:spacing w:after="0" w:line="240" w:lineRule="auto"/>
        <w:ind w:left="1440"/>
        <w:jc w:val="both"/>
        <w:rPr>
          <w:rFonts w:ascii="Times New Roman" w:hAnsi="Times New Roman" w:cs="Times New Roman"/>
          <w:sz w:val="24"/>
          <w:szCs w:val="24"/>
          <w:lang w:val="uk-UA"/>
        </w:rPr>
      </w:pPr>
    </w:p>
    <w:p w:rsidR="0088636D" w:rsidRPr="0088636D" w:rsidRDefault="0088636D" w:rsidP="0088636D">
      <w:pPr>
        <w:pStyle w:val="a7"/>
        <w:spacing w:before="0" w:beforeAutospacing="0" w:after="0" w:afterAutospacing="0"/>
        <w:rPr>
          <w:b/>
          <w:bCs/>
          <w:color w:val="000000"/>
        </w:rPr>
      </w:pPr>
      <w:r w:rsidRPr="0088636D">
        <w:rPr>
          <w:b/>
          <w:bCs/>
          <w:color w:val="000000"/>
        </w:rPr>
        <w:t>Список використаних джерел:</w:t>
      </w:r>
    </w:p>
    <w:p w:rsidR="00FD60CF" w:rsidRPr="00FD60CF" w:rsidRDefault="00FD60CF" w:rsidP="00FD60CF">
      <w:pPr>
        <w:tabs>
          <w:tab w:val="left" w:pos="0"/>
        </w:tabs>
        <w:jc w:val="both"/>
        <w:rPr>
          <w:rFonts w:ascii="Times New Roman" w:hAnsi="Times New Roman" w:cs="Times New Roman"/>
          <w:b/>
          <w:sz w:val="24"/>
          <w:szCs w:val="24"/>
          <w:lang w:val="uk-UA"/>
        </w:rPr>
      </w:pPr>
      <w:r w:rsidRPr="00FD60CF">
        <w:rPr>
          <w:rFonts w:ascii="Times New Roman" w:hAnsi="Times New Roman" w:cs="Times New Roman"/>
          <w:b/>
          <w:sz w:val="24"/>
          <w:szCs w:val="24"/>
          <w:lang w:val="uk-UA"/>
        </w:rPr>
        <w:t>Основна література:</w:t>
      </w:r>
    </w:p>
    <w:p w:rsidR="00FD60CF" w:rsidRPr="00FD60CF" w:rsidRDefault="00FD60CF" w:rsidP="008512F9">
      <w:pPr>
        <w:pStyle w:val="21"/>
        <w:numPr>
          <w:ilvl w:val="0"/>
          <w:numId w:val="45"/>
        </w:numPr>
        <w:jc w:val="both"/>
        <w:rPr>
          <w:sz w:val="24"/>
          <w:szCs w:val="24"/>
        </w:rPr>
      </w:pPr>
      <w:r w:rsidRPr="00FD60CF">
        <w:rPr>
          <w:sz w:val="24"/>
          <w:szCs w:val="24"/>
          <w:lang w:val="ru-RU"/>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w:t>
      </w:r>
      <w:hyperlink r:id="rId94" w:history="1">
        <w:r w:rsidRPr="00FD60CF">
          <w:rPr>
            <w:rStyle w:val="a6"/>
            <w:sz w:val="24"/>
            <w:szCs w:val="24"/>
            <w:lang w:val="ru-RU"/>
          </w:rPr>
          <w:t>див.</w:t>
        </w:r>
      </w:hyperlink>
    </w:p>
    <w:p w:rsidR="00FD60CF" w:rsidRPr="00FD60CF" w:rsidRDefault="00FD60CF" w:rsidP="008512F9">
      <w:pPr>
        <w:pStyle w:val="21"/>
        <w:numPr>
          <w:ilvl w:val="0"/>
          <w:numId w:val="45"/>
        </w:numPr>
        <w:jc w:val="both"/>
        <w:rPr>
          <w:sz w:val="24"/>
          <w:szCs w:val="24"/>
        </w:rPr>
      </w:pPr>
      <w:r w:rsidRPr="00FD60CF">
        <w:rPr>
          <w:sz w:val="24"/>
          <w:szCs w:val="24"/>
        </w:rPr>
        <w:t xml:space="preserve">Голованова І.А., Бєлікова І.В., Ляхова Н.О. Організація та економіка охорони здоров'я: навч. посіб. – Полтава, 2021, 236 с. </w:t>
      </w:r>
      <w:hyperlink r:id="rId95" w:history="1">
        <w:r w:rsidRPr="00FD60CF">
          <w:rPr>
            <w:rStyle w:val="a6"/>
            <w:sz w:val="24"/>
            <w:szCs w:val="24"/>
          </w:rPr>
          <w:t>див.</w:t>
        </w:r>
      </w:hyperlink>
    </w:p>
    <w:p w:rsidR="00FD60CF" w:rsidRPr="00FD60CF" w:rsidRDefault="00FD60CF" w:rsidP="008512F9">
      <w:pPr>
        <w:pStyle w:val="21"/>
        <w:numPr>
          <w:ilvl w:val="0"/>
          <w:numId w:val="45"/>
        </w:numPr>
        <w:rPr>
          <w:sz w:val="24"/>
          <w:szCs w:val="24"/>
        </w:rPr>
      </w:pPr>
      <w:r w:rsidRPr="00FD60CF">
        <w:rPr>
          <w:sz w:val="24"/>
          <w:szCs w:val="24"/>
        </w:rPr>
        <w:lastRenderedPageBreak/>
        <w:t xml:space="preserve">СТ-Н МОЗУ 42-4.2:2011 Лікарські засоби. Управління ризиками для якості (ICH Q9) </w:t>
      </w:r>
    </w:p>
    <w:p w:rsidR="00FD60CF" w:rsidRPr="00FD60CF" w:rsidRDefault="00FD60CF" w:rsidP="008512F9">
      <w:pPr>
        <w:pStyle w:val="21"/>
        <w:numPr>
          <w:ilvl w:val="0"/>
          <w:numId w:val="45"/>
        </w:numPr>
        <w:jc w:val="both"/>
        <w:rPr>
          <w:sz w:val="24"/>
          <w:szCs w:val="24"/>
        </w:rPr>
      </w:pPr>
      <w:r w:rsidRPr="00FD60CF">
        <w:rPr>
          <w:sz w:val="24"/>
          <w:szCs w:val="24"/>
        </w:rPr>
        <w:t xml:space="preserve">Паліативна допомога : організаційні, фармацевтичні та клінічні аспекти знеболення (навчальний посібник). Київ 2019. 138 с. </w:t>
      </w:r>
      <w:hyperlink r:id="rId96" w:history="1">
        <w:r w:rsidRPr="00FD60CF">
          <w:rPr>
            <w:rStyle w:val="a6"/>
            <w:sz w:val="24"/>
            <w:szCs w:val="24"/>
          </w:rPr>
          <w:t>див.</w:t>
        </w:r>
      </w:hyperlink>
    </w:p>
    <w:p w:rsidR="00FD60CF" w:rsidRPr="00FD60CF" w:rsidRDefault="00FD60CF" w:rsidP="008512F9">
      <w:pPr>
        <w:numPr>
          <w:ilvl w:val="0"/>
          <w:numId w:val="45"/>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 xml:space="preserve">Борщ В.І., Рудінська О.В., Кусик Н.Л. Менеджмент та маркетинг в охороні здоровʼя: навчальний посібник. Херсон: Олді+, 2022. 264 с. </w:t>
      </w:r>
    </w:p>
    <w:p w:rsidR="00FD60CF" w:rsidRPr="00FD60CF" w:rsidRDefault="00FD60CF" w:rsidP="008512F9">
      <w:pPr>
        <w:numPr>
          <w:ilvl w:val="0"/>
          <w:numId w:val="45"/>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FD60CF" w:rsidRPr="00FD60CF" w:rsidRDefault="00FD60CF" w:rsidP="008512F9">
      <w:pPr>
        <w:numPr>
          <w:ilvl w:val="0"/>
          <w:numId w:val="45"/>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https://ela.kpi.ua/items/564de540-fd83-4995-b1b4-505e456fc246</w:t>
      </w:r>
    </w:p>
    <w:p w:rsidR="00FD60CF" w:rsidRPr="00FD60CF" w:rsidRDefault="00FD60CF" w:rsidP="00FD60CF">
      <w:pPr>
        <w:pStyle w:val="21"/>
        <w:rPr>
          <w:b/>
          <w:sz w:val="24"/>
          <w:szCs w:val="24"/>
        </w:rPr>
      </w:pPr>
    </w:p>
    <w:p w:rsidR="00FD60CF" w:rsidRPr="00FD60CF" w:rsidRDefault="00FD60CF" w:rsidP="00FD60CF">
      <w:pPr>
        <w:pStyle w:val="21"/>
        <w:ind w:firstLine="360"/>
        <w:rPr>
          <w:b/>
          <w:sz w:val="24"/>
          <w:szCs w:val="24"/>
        </w:rPr>
      </w:pPr>
      <w:r w:rsidRPr="00FD60CF">
        <w:rPr>
          <w:b/>
          <w:sz w:val="24"/>
          <w:szCs w:val="24"/>
        </w:rPr>
        <w:t>Додаткова література:</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Фармакоекономіка: навч. посіб. для студ. вищ. навч. закл. ІІІ-ІV рівнів акредитації/ Яковлєва Л. В. та ін.; за ред. Л. В. Яковлєвої. Вінниця: Нова книга, 2017. 207 с.</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w:t>
      </w:r>
      <w:r w:rsidRPr="00FD60CF">
        <w:rPr>
          <w:rFonts w:ascii="Times New Roman" w:hAnsi="Times New Roman" w:cs="Times New Roman"/>
          <w:sz w:val="24"/>
          <w:szCs w:val="24"/>
          <w:lang w:val="uk-UA"/>
        </w:rPr>
        <w:t xml:space="preserve"> </w:t>
      </w:r>
      <w:hyperlink r:id="rId97" w:history="1">
        <w:r w:rsidRPr="00FD60CF">
          <w:rPr>
            <w:rStyle w:val="a6"/>
            <w:rFonts w:ascii="Times New Roman" w:hAnsi="Times New Roman" w:cs="Times New Roman"/>
            <w:sz w:val="24"/>
            <w:szCs w:val="24"/>
            <w:lang w:val="uk-UA"/>
          </w:rPr>
          <w:t>див.</w:t>
        </w:r>
      </w:hyperlink>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Смірнова Г. В. Регулювання фармацевтичного ринку в контексті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оптимізації соціального забезпечення населення. Регіональна економіка. 2021. С. 29-34.</w:t>
      </w:r>
      <w:r w:rsidRPr="00FD60CF">
        <w:rPr>
          <w:rFonts w:ascii="Times New Roman" w:hAnsi="Times New Roman" w:cs="Times New Roman"/>
          <w:sz w:val="24"/>
          <w:szCs w:val="24"/>
          <w:lang w:val="uk-UA"/>
        </w:rPr>
        <w:t xml:space="preserve"> </w:t>
      </w:r>
      <w:hyperlink r:id="rId98" w:history="1">
        <w:r w:rsidRPr="00FD60CF">
          <w:rPr>
            <w:rStyle w:val="a6"/>
            <w:rFonts w:ascii="Times New Roman" w:hAnsi="Times New Roman" w:cs="Times New Roman"/>
            <w:sz w:val="24"/>
            <w:szCs w:val="24"/>
            <w:lang w:val="uk-UA"/>
          </w:rPr>
          <w:t>див.</w:t>
        </w:r>
      </w:hyperlink>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Тарасюк М.Б., Паламар І.В., Орлова Н.М., Головчанська-Пушкар</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С.С., Клименюк В.П., Тодоренко Л.С. Тайм-менеджмент в роботі керівників</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аптечних закладів. Наукові інновації та передові технології. 2024. № 5 (33). С.</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411-424. DOI: https://doi.org/10.52058/2786-5274-2024-5(33)-411-424</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Тарасюк М.Б., Байдюк І.А., Паламар І.В., Карпенко І.А., Пірвердієва</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І.С., Ткаченко О.В. Маркетингова діяльність всеукраїнської аптечної мережі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«Подорожник» м. Вінниця. Вісник Вінницького національного медичного</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університету. 2023. Т. 27. № 4. С. 641-644 DOI: https://doi.org/10.31393/reportsvnmedical-2023-27(4)-19</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Ткаченко Н. О., Городецька І. Я., Левицька О. Р. Аналіз підходів до</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складання соціальної звітності фармацевтичних підприємств. Актуальні</w:t>
      </w:r>
      <w:r w:rsidRPr="00FD60CF">
        <w:rPr>
          <w:rFonts w:ascii="Times New Roman" w:hAnsi="Times New Roman" w:cs="Times New Roman"/>
          <w:sz w:val="24"/>
          <w:szCs w:val="24"/>
          <w:lang w:val="uk-UA"/>
        </w:rPr>
        <w:t xml:space="preserve"> </w:t>
      </w:r>
      <w:r w:rsidRPr="00FD60CF">
        <w:rPr>
          <w:rFonts w:ascii="Times New Roman" w:hAnsi="Times New Roman" w:cs="Times New Roman"/>
          <w:sz w:val="24"/>
          <w:szCs w:val="24"/>
        </w:rPr>
        <w:t>питання фармацевтичної і медичної науки та практики. 2023. Т. 16, № 2. С. 186-193.</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FD60CF" w:rsidRPr="00FD60CF" w:rsidRDefault="00FD60CF" w:rsidP="008512F9">
      <w:pPr>
        <w:numPr>
          <w:ilvl w:val="0"/>
          <w:numId w:val="46"/>
        </w:numPr>
        <w:tabs>
          <w:tab w:val="left" w:pos="0"/>
        </w:tabs>
        <w:suppressAutoHyphens/>
        <w:spacing w:after="0" w:line="240" w:lineRule="auto"/>
        <w:jc w:val="both"/>
        <w:rPr>
          <w:rFonts w:ascii="Times New Roman" w:hAnsi="Times New Roman" w:cs="Times New Roman"/>
          <w:sz w:val="24"/>
          <w:szCs w:val="24"/>
        </w:rPr>
      </w:pPr>
      <w:r w:rsidRPr="00FD60CF">
        <w:rPr>
          <w:rFonts w:ascii="Times New Roman" w:hAnsi="Times New Roman" w:cs="Times New Roman"/>
          <w:sz w:val="24"/>
          <w:szCs w:val="24"/>
          <w:lang w:val="uk-UA"/>
        </w:rPr>
        <w:t xml:space="preserve">Аналіз </w:t>
      </w:r>
      <w:r w:rsidRPr="00FD60CF">
        <w:rPr>
          <w:rFonts w:ascii="Times New Roman" w:hAnsi="Times New Roman" w:cs="Times New Roman"/>
          <w:sz w:val="24"/>
          <w:szCs w:val="24"/>
        </w:rPr>
        <w:t xml:space="preserve">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FD60CF" w:rsidRPr="00FD60CF" w:rsidRDefault="00FD60CF" w:rsidP="00FD60CF">
      <w:pPr>
        <w:ind w:left="-142" w:firstLine="851"/>
        <w:jc w:val="both"/>
        <w:rPr>
          <w:rFonts w:ascii="Times New Roman" w:hAnsi="Times New Roman" w:cs="Times New Roman"/>
          <w:b/>
          <w:sz w:val="24"/>
          <w:szCs w:val="24"/>
          <w:lang w:val="uk-UA"/>
        </w:rPr>
      </w:pPr>
    </w:p>
    <w:p w:rsidR="00FD60CF" w:rsidRPr="00FD60CF" w:rsidRDefault="00FD60CF" w:rsidP="00FD60CF">
      <w:pPr>
        <w:jc w:val="center"/>
        <w:rPr>
          <w:rFonts w:ascii="Times New Roman" w:hAnsi="Times New Roman" w:cs="Times New Roman"/>
          <w:b/>
          <w:sz w:val="24"/>
          <w:szCs w:val="24"/>
          <w:lang w:val="uk-UA"/>
        </w:rPr>
      </w:pPr>
      <w:r w:rsidRPr="00FD60CF">
        <w:rPr>
          <w:rFonts w:ascii="Times New Roman" w:hAnsi="Times New Roman" w:cs="Times New Roman"/>
          <w:b/>
          <w:sz w:val="24"/>
          <w:szCs w:val="24"/>
          <w:lang w:val="uk-UA"/>
        </w:rPr>
        <w:t>13. ЕЛЕКТРОННІ ІНФОРМАЦІЙНІ РЕСУРСИ</w:t>
      </w:r>
    </w:p>
    <w:p w:rsidR="00FD60CF" w:rsidRPr="00FD60CF" w:rsidRDefault="00FD60CF" w:rsidP="008512F9">
      <w:pPr>
        <w:numPr>
          <w:ilvl w:val="0"/>
          <w:numId w:val="47"/>
        </w:numPr>
        <w:suppressAutoHyphens/>
        <w:spacing w:before="7" w:after="0" w:line="240" w:lineRule="auto"/>
        <w:ind w:right="32"/>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Законодавство України [Електронний ресурс]. - Режим доступу:  </w:t>
      </w:r>
      <w:hyperlink r:id="rId99" w:history="1">
        <w:r w:rsidRPr="00FD60CF">
          <w:rPr>
            <w:rStyle w:val="a6"/>
            <w:rFonts w:ascii="Times New Roman" w:hAnsi="Times New Roman" w:cs="Times New Roman"/>
            <w:sz w:val="24"/>
            <w:szCs w:val="24"/>
            <w:lang w:val="uk-UA"/>
          </w:rPr>
          <w:t>https://zakon.rada.gov.ua/laws/show/</w:t>
        </w:r>
      </w:hyperlink>
    </w:p>
    <w:p w:rsidR="00FD60CF" w:rsidRPr="00FD60CF" w:rsidRDefault="00FD60CF" w:rsidP="008512F9">
      <w:pPr>
        <w:numPr>
          <w:ilvl w:val="0"/>
          <w:numId w:val="47"/>
        </w:numPr>
        <w:suppressAutoHyphens/>
        <w:spacing w:before="7" w:after="0" w:line="240" w:lineRule="auto"/>
        <w:ind w:right="32"/>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Міністерство охорони здоров’я України [Електронний ресурс]. - Режим доступу: </w:t>
      </w:r>
      <w:r w:rsidRPr="00FD60CF">
        <w:rPr>
          <w:rFonts w:ascii="Times New Roman" w:hAnsi="Times New Roman" w:cs="Times New Roman"/>
          <w:sz w:val="24"/>
          <w:szCs w:val="24"/>
        </w:rPr>
        <w:t xml:space="preserve"> </w:t>
      </w:r>
      <w:hyperlink r:id="rId100" w:history="1">
        <w:r w:rsidRPr="00FD60CF">
          <w:rPr>
            <w:rStyle w:val="a6"/>
            <w:rFonts w:ascii="Times New Roman" w:hAnsi="Times New Roman" w:cs="Times New Roman"/>
            <w:sz w:val="24"/>
            <w:szCs w:val="24"/>
            <w:lang w:val="uk-UA"/>
          </w:rPr>
          <w:t>https://moz.gov.ua/</w:t>
        </w:r>
      </w:hyperlink>
    </w:p>
    <w:p w:rsidR="00FD60CF" w:rsidRPr="00FD60CF" w:rsidRDefault="00FD60CF" w:rsidP="008512F9">
      <w:pPr>
        <w:numPr>
          <w:ilvl w:val="0"/>
          <w:numId w:val="47"/>
        </w:numPr>
        <w:suppressAutoHyphens/>
        <w:spacing w:before="7" w:after="0" w:line="240" w:lineRule="auto"/>
        <w:ind w:right="32"/>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Державна служба України з лікарських засобів та контролю за наркотиками (Держлікслужба)</w:t>
      </w:r>
      <w:r w:rsidRPr="00FD60CF">
        <w:rPr>
          <w:rFonts w:ascii="Times New Roman" w:hAnsi="Times New Roman" w:cs="Times New Roman"/>
          <w:color w:val="1D1D1B"/>
          <w:sz w:val="24"/>
          <w:szCs w:val="24"/>
          <w:shd w:val="clear" w:color="auto" w:fill="FFFFFF"/>
        </w:rPr>
        <w:t> </w:t>
      </w:r>
      <w:hyperlink r:id="rId101" w:history="1">
        <w:r w:rsidRPr="00FD60CF">
          <w:rPr>
            <w:rStyle w:val="a6"/>
            <w:rFonts w:ascii="Times New Roman" w:hAnsi="Times New Roman" w:cs="Times New Roman"/>
            <w:sz w:val="24"/>
            <w:szCs w:val="24"/>
            <w:lang w:val="uk-UA"/>
          </w:rPr>
          <w:t>https://www.dls.gov.ua/</w:t>
        </w:r>
      </w:hyperlink>
    </w:p>
    <w:p w:rsidR="00FD60CF" w:rsidRPr="00FD60CF" w:rsidRDefault="00FD60CF" w:rsidP="008512F9">
      <w:pPr>
        <w:numPr>
          <w:ilvl w:val="0"/>
          <w:numId w:val="47"/>
        </w:numPr>
        <w:suppressAutoHyphens/>
        <w:spacing w:before="7" w:after="0" w:line="240" w:lineRule="auto"/>
        <w:ind w:right="32"/>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t xml:space="preserve">Державний експертний центр МОЗ України </w:t>
      </w:r>
      <w:hyperlink r:id="rId102" w:history="1">
        <w:r w:rsidRPr="00FD60CF">
          <w:rPr>
            <w:rStyle w:val="a6"/>
            <w:rFonts w:ascii="Times New Roman" w:hAnsi="Times New Roman" w:cs="Times New Roman"/>
            <w:sz w:val="24"/>
            <w:szCs w:val="24"/>
            <w:lang w:val="uk-UA"/>
          </w:rPr>
          <w:t>https://www.dec.gov.ua/</w:t>
        </w:r>
      </w:hyperlink>
    </w:p>
    <w:p w:rsidR="00FD60CF" w:rsidRPr="00FD60CF" w:rsidRDefault="00FD60CF" w:rsidP="008512F9">
      <w:pPr>
        <w:numPr>
          <w:ilvl w:val="0"/>
          <w:numId w:val="47"/>
        </w:numPr>
        <w:suppressAutoHyphens/>
        <w:spacing w:before="7" w:after="0" w:line="240" w:lineRule="auto"/>
        <w:ind w:right="32"/>
        <w:jc w:val="both"/>
        <w:rPr>
          <w:rFonts w:ascii="Times New Roman" w:hAnsi="Times New Roman" w:cs="Times New Roman"/>
          <w:sz w:val="24"/>
          <w:szCs w:val="24"/>
          <w:lang w:val="uk-UA"/>
        </w:rPr>
      </w:pPr>
      <w:r w:rsidRPr="00FD60CF">
        <w:rPr>
          <w:rFonts w:ascii="Times New Roman" w:hAnsi="Times New Roman" w:cs="Times New Roman"/>
          <w:sz w:val="24"/>
          <w:szCs w:val="24"/>
          <w:lang w:val="uk-UA"/>
        </w:rPr>
        <w:lastRenderedPageBreak/>
        <w:t xml:space="preserve">Державний формуляр ЛЗ </w:t>
      </w:r>
      <w:hyperlink r:id="rId103" w:history="1">
        <w:r w:rsidRPr="00FD60CF">
          <w:rPr>
            <w:rStyle w:val="a6"/>
            <w:rFonts w:ascii="Times New Roman" w:hAnsi="Times New Roman" w:cs="Times New Roman"/>
            <w:sz w:val="24"/>
            <w:szCs w:val="24"/>
            <w:lang w:val="uk-UA"/>
          </w:rPr>
          <w:t>https://www.dec.gov.ua/materials/chinnij-vipusk-derzhavnogo-formulyara-likarskih-zasobiv/?role=ua</w:t>
        </w:r>
      </w:hyperlink>
    </w:p>
    <w:p w:rsidR="00FD60CF" w:rsidRPr="00FD60CF" w:rsidRDefault="00FD60CF" w:rsidP="008512F9">
      <w:pPr>
        <w:pStyle w:val="21"/>
        <w:numPr>
          <w:ilvl w:val="0"/>
          <w:numId w:val="47"/>
        </w:numPr>
        <w:jc w:val="both"/>
        <w:rPr>
          <w:sz w:val="24"/>
          <w:szCs w:val="24"/>
        </w:rPr>
      </w:pPr>
      <w:r w:rsidRPr="00FD60CF">
        <w:rPr>
          <w:sz w:val="24"/>
          <w:szCs w:val="24"/>
        </w:rPr>
        <w:t xml:space="preserve">Державний реєстр лікарських засобів України. [Електронний ресурс]. – Режим доступу: </w:t>
      </w:r>
      <w:hyperlink r:id="rId104" w:history="1">
        <w:r w:rsidRPr="00FD60CF">
          <w:rPr>
            <w:rStyle w:val="a6"/>
            <w:sz w:val="24"/>
            <w:szCs w:val="24"/>
          </w:rPr>
          <w:t>http://www.drlz.com.ua/ibp/ddsite.nsf/all/shlist?opendocument</w:t>
        </w:r>
      </w:hyperlink>
    </w:p>
    <w:p w:rsidR="00FD60CF" w:rsidRPr="00FD60CF" w:rsidRDefault="00FD60CF" w:rsidP="008512F9">
      <w:pPr>
        <w:pStyle w:val="21"/>
        <w:numPr>
          <w:ilvl w:val="0"/>
          <w:numId w:val="47"/>
        </w:numPr>
        <w:jc w:val="both"/>
        <w:rPr>
          <w:sz w:val="24"/>
          <w:szCs w:val="24"/>
        </w:rPr>
      </w:pPr>
      <w:r w:rsidRPr="00FD60CF">
        <w:rPr>
          <w:sz w:val="24"/>
          <w:szCs w:val="24"/>
        </w:rPr>
        <w:t>Compendium online. [Електронний ресурс]. – Режим доступу:</w:t>
      </w:r>
      <w:r w:rsidRPr="00FD60CF">
        <w:rPr>
          <w:sz w:val="24"/>
          <w:szCs w:val="24"/>
        </w:rPr>
        <w:br/>
      </w:r>
      <w:hyperlink r:id="rId105" w:history="1">
        <w:r w:rsidRPr="00FD60CF">
          <w:rPr>
            <w:rStyle w:val="a6"/>
            <w:sz w:val="24"/>
            <w:szCs w:val="24"/>
          </w:rPr>
          <w:t>https://compendium.com.ua/uk/</w:t>
        </w:r>
      </w:hyperlink>
      <w:r w:rsidRPr="00FD60CF">
        <w:rPr>
          <w:sz w:val="24"/>
          <w:szCs w:val="24"/>
        </w:rPr>
        <w:t xml:space="preserve"> </w:t>
      </w:r>
    </w:p>
    <w:p w:rsidR="00FD60CF" w:rsidRDefault="00FD60CF" w:rsidP="008512F9">
      <w:pPr>
        <w:pStyle w:val="21"/>
        <w:numPr>
          <w:ilvl w:val="0"/>
          <w:numId w:val="47"/>
        </w:numPr>
        <w:jc w:val="both"/>
        <w:rPr>
          <w:sz w:val="24"/>
          <w:szCs w:val="24"/>
        </w:rPr>
      </w:pPr>
      <w:r w:rsidRPr="00FD60CF">
        <w:rPr>
          <w:sz w:val="24"/>
          <w:szCs w:val="24"/>
        </w:rPr>
        <w:t>Щотижневик «Аптека» [Електронний</w:t>
      </w:r>
      <w:r>
        <w:rPr>
          <w:sz w:val="24"/>
          <w:szCs w:val="24"/>
        </w:rPr>
        <w:t xml:space="preserve"> ресурс]. – Режим доступу:</w:t>
      </w:r>
      <w:r>
        <w:rPr>
          <w:sz w:val="24"/>
          <w:szCs w:val="24"/>
        </w:rPr>
        <w:br/>
      </w:r>
      <w:hyperlink r:id="rId106" w:history="1">
        <w:r>
          <w:rPr>
            <w:rStyle w:val="a6"/>
            <w:sz w:val="24"/>
            <w:szCs w:val="24"/>
          </w:rPr>
          <w:t>https://www.apteka.ua/</w:t>
        </w:r>
      </w:hyperlink>
    </w:p>
    <w:p w:rsidR="00FD60CF" w:rsidRDefault="00FD60CF" w:rsidP="008512F9">
      <w:pPr>
        <w:pStyle w:val="21"/>
        <w:widowControl w:val="0"/>
        <w:numPr>
          <w:ilvl w:val="0"/>
          <w:numId w:val="47"/>
        </w:numPr>
        <w:jc w:val="both"/>
        <w:rPr>
          <w:sz w:val="24"/>
          <w:szCs w:val="24"/>
        </w:rPr>
      </w:pPr>
      <w:r>
        <w:rPr>
          <w:sz w:val="24"/>
          <w:szCs w:val="24"/>
        </w:rPr>
        <w:t xml:space="preserve">Пошукова база ліків [Електронний ресурс]. – Режим доступу: </w:t>
      </w:r>
      <w:hyperlink r:id="rId107" w:history="1">
        <w:r>
          <w:rPr>
            <w:rStyle w:val="a6"/>
            <w:sz w:val="24"/>
            <w:szCs w:val="24"/>
          </w:rPr>
          <w:t>https://tabletki.ua/</w:t>
        </w:r>
      </w:hyperlink>
    </w:p>
    <w:p w:rsidR="00FD60CF" w:rsidRDefault="00FD60CF" w:rsidP="008512F9">
      <w:pPr>
        <w:pStyle w:val="21"/>
        <w:widowControl w:val="0"/>
        <w:numPr>
          <w:ilvl w:val="0"/>
          <w:numId w:val="47"/>
        </w:numPr>
        <w:jc w:val="both"/>
        <w:rPr>
          <w:sz w:val="24"/>
          <w:szCs w:val="24"/>
        </w:rPr>
      </w:pPr>
      <w:r>
        <w:rPr>
          <w:sz w:val="24"/>
          <w:szCs w:val="24"/>
        </w:rPr>
        <w:t xml:space="preserve">Пошукова база ліків [Електронний ресурс]. – Режим </w:t>
      </w:r>
      <w:bookmarkStart w:id="13" w:name="_GoBack"/>
      <w:bookmarkEnd w:id="13"/>
      <w:r>
        <w:rPr>
          <w:sz w:val="24"/>
          <w:szCs w:val="24"/>
        </w:rPr>
        <w:t>доступу:</w:t>
      </w:r>
      <w:r>
        <w:rPr>
          <w:sz w:val="24"/>
          <w:szCs w:val="24"/>
        </w:rPr>
        <w:br/>
      </w:r>
      <w:hyperlink r:id="rId108" w:history="1">
        <w:r>
          <w:rPr>
            <w:rStyle w:val="a6"/>
            <w:sz w:val="24"/>
            <w:szCs w:val="24"/>
          </w:rPr>
          <w:t>https://likicontrol.com.ua/</w:t>
        </w:r>
      </w:hyperlink>
    </w:p>
    <w:p w:rsidR="00FD60CF" w:rsidRDefault="00FD60CF" w:rsidP="008512F9">
      <w:pPr>
        <w:pStyle w:val="21"/>
        <w:widowControl w:val="0"/>
        <w:numPr>
          <w:ilvl w:val="0"/>
          <w:numId w:val="47"/>
        </w:numPr>
        <w:jc w:val="both"/>
        <w:rPr>
          <w:sz w:val="24"/>
          <w:szCs w:val="24"/>
        </w:rPr>
      </w:pPr>
      <w:r>
        <w:rPr>
          <w:sz w:val="24"/>
          <w:szCs w:val="24"/>
        </w:rPr>
        <w:t>Rx.ua —</w:t>
      </w:r>
      <w:hyperlink r:id="rId109" w:history="1">
        <w:r>
          <w:rPr>
            <w:rStyle w:val="a6"/>
            <w:sz w:val="24"/>
            <w:szCs w:val="24"/>
          </w:rPr>
          <w:t>довідник еквівалентності лікарських засобів</w:t>
        </w:r>
      </w:hyperlink>
      <w:r>
        <w:rPr>
          <w:sz w:val="24"/>
          <w:szCs w:val="24"/>
        </w:rPr>
        <w:t xml:space="preserve"> [Електронний ресурс]. – Режим доступу:</w:t>
      </w:r>
      <w:r>
        <w:rPr>
          <w:rFonts w:ascii="Arial" w:hAnsi="Arial" w:cs="Arial"/>
          <w:color w:val="000000"/>
          <w:sz w:val="27"/>
          <w:szCs w:val="27"/>
          <w:shd w:val="clear" w:color="auto" w:fill="FFFFFF"/>
        </w:rPr>
        <w:t> </w:t>
      </w:r>
      <w:hyperlink r:id="rId110" w:history="1">
        <w:r>
          <w:rPr>
            <w:rStyle w:val="a6"/>
            <w:sz w:val="24"/>
            <w:szCs w:val="24"/>
            <w:shd w:val="clear" w:color="auto" w:fill="FFFFFF"/>
          </w:rPr>
          <w:t>https://rx.ua/</w:t>
        </w:r>
      </w:hyperlink>
    </w:p>
    <w:p w:rsidR="00FD60CF" w:rsidRDefault="00FD60CF" w:rsidP="00FD60CF">
      <w:pPr>
        <w:widowControl w:val="0"/>
        <w:jc w:val="both"/>
        <w:rPr>
          <w:rFonts w:eastAsia="Calibri"/>
          <w:bCs/>
          <w:sz w:val="24"/>
          <w:szCs w:val="24"/>
          <w:lang w:val="uk-UA" w:eastAsia="ru-RU"/>
        </w:rPr>
      </w:pPr>
    </w:p>
    <w:p w:rsidR="00FD60CF" w:rsidRDefault="00FD60CF" w:rsidP="00FD60CF">
      <w:pPr>
        <w:widowControl w:val="0"/>
        <w:jc w:val="center"/>
        <w:rPr>
          <w:rFonts w:eastAsia="Calibri"/>
          <w:b/>
          <w:lang w:val="uk-UA" w:eastAsia="ru-RU"/>
        </w:rPr>
      </w:pPr>
    </w:p>
    <w:p w:rsidR="00FD60CF" w:rsidRDefault="00FD60CF" w:rsidP="00FD60CF">
      <w:pPr>
        <w:widowControl w:val="0"/>
        <w:jc w:val="center"/>
        <w:rPr>
          <w:rFonts w:eastAsia="Calibri"/>
          <w:b/>
          <w:lang w:val="uk-UA" w:eastAsia="ru-RU"/>
        </w:rPr>
      </w:pPr>
    </w:p>
    <w:p w:rsidR="0088636D" w:rsidRPr="0088636D" w:rsidRDefault="0088636D" w:rsidP="00815E17">
      <w:pPr>
        <w:pStyle w:val="a3"/>
        <w:rPr>
          <w:rFonts w:ascii="Times New Roman" w:hAnsi="Times New Roman" w:cs="Times New Roman"/>
          <w:sz w:val="24"/>
          <w:szCs w:val="24"/>
          <w:lang w:val="uk-UA"/>
        </w:rPr>
      </w:pPr>
    </w:p>
    <w:sectPr w:rsidR="0088636D" w:rsidRPr="0088636D" w:rsidSect="00956B42">
      <w:headerReference w:type="default" r:id="rId111"/>
      <w:pgSz w:w="11906" w:h="16838"/>
      <w:pgMar w:top="1134" w:right="851" w:bottom="71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2F9" w:rsidRDefault="008512F9">
      <w:pPr>
        <w:spacing w:after="0" w:line="240" w:lineRule="auto"/>
      </w:pPr>
      <w:r>
        <w:separator/>
      </w:r>
    </w:p>
  </w:endnote>
  <w:endnote w:type="continuationSeparator" w:id="0">
    <w:p w:rsidR="008512F9" w:rsidRDefault="0085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2F9" w:rsidRDefault="008512F9">
      <w:pPr>
        <w:spacing w:after="0" w:line="240" w:lineRule="auto"/>
      </w:pPr>
      <w:r>
        <w:separator/>
      </w:r>
    </w:p>
  </w:footnote>
  <w:footnote w:type="continuationSeparator" w:id="0">
    <w:p w:rsidR="008512F9" w:rsidRDefault="008512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B42" w:rsidRPr="00627D3C" w:rsidRDefault="00956B42" w:rsidP="00956B42">
    <w:pPr>
      <w:pStyle w:val="a4"/>
      <w:jc w:val="right"/>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34FE2"/>
    <w:multiLevelType w:val="multilevel"/>
    <w:tmpl w:val="D2DC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522B62"/>
    <w:multiLevelType w:val="hybridMultilevel"/>
    <w:tmpl w:val="6A48E8F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6DC5E1D"/>
    <w:multiLevelType w:val="hybridMultilevel"/>
    <w:tmpl w:val="6C5EB09C"/>
    <w:lvl w:ilvl="0" w:tplc="0419000F">
      <w:start w:val="1"/>
      <w:numFmt w:val="decimal"/>
      <w:lvlText w:val="%1."/>
      <w:lvlJc w:val="left"/>
      <w:pPr>
        <w:ind w:left="1429" w:hanging="360"/>
      </w:pPr>
    </w:lvl>
    <w:lvl w:ilvl="1" w:tplc="20000019">
      <w:start w:val="1"/>
      <w:numFmt w:val="lowerLetter"/>
      <w:lvlText w:val="%2."/>
      <w:lvlJc w:val="left"/>
      <w:pPr>
        <w:ind w:left="2149" w:hanging="360"/>
      </w:pPr>
    </w:lvl>
    <w:lvl w:ilvl="2" w:tplc="2000001B">
      <w:start w:val="1"/>
      <w:numFmt w:val="lowerRoman"/>
      <w:lvlText w:val="%3."/>
      <w:lvlJc w:val="right"/>
      <w:pPr>
        <w:ind w:left="2869" w:hanging="180"/>
      </w:pPr>
    </w:lvl>
    <w:lvl w:ilvl="3" w:tplc="2000000F">
      <w:start w:val="1"/>
      <w:numFmt w:val="decimal"/>
      <w:lvlText w:val="%4."/>
      <w:lvlJc w:val="left"/>
      <w:pPr>
        <w:ind w:left="3589" w:hanging="360"/>
      </w:pPr>
    </w:lvl>
    <w:lvl w:ilvl="4" w:tplc="20000019">
      <w:start w:val="1"/>
      <w:numFmt w:val="lowerLetter"/>
      <w:lvlText w:val="%5."/>
      <w:lvlJc w:val="left"/>
      <w:pPr>
        <w:ind w:left="4309" w:hanging="360"/>
      </w:pPr>
    </w:lvl>
    <w:lvl w:ilvl="5" w:tplc="2000001B">
      <w:start w:val="1"/>
      <w:numFmt w:val="lowerRoman"/>
      <w:lvlText w:val="%6."/>
      <w:lvlJc w:val="right"/>
      <w:pPr>
        <w:ind w:left="5029" w:hanging="180"/>
      </w:pPr>
    </w:lvl>
    <w:lvl w:ilvl="6" w:tplc="2000000F">
      <w:start w:val="1"/>
      <w:numFmt w:val="decimal"/>
      <w:lvlText w:val="%7."/>
      <w:lvlJc w:val="left"/>
      <w:pPr>
        <w:ind w:left="5749" w:hanging="360"/>
      </w:pPr>
    </w:lvl>
    <w:lvl w:ilvl="7" w:tplc="20000019">
      <w:start w:val="1"/>
      <w:numFmt w:val="lowerLetter"/>
      <w:lvlText w:val="%8."/>
      <w:lvlJc w:val="left"/>
      <w:pPr>
        <w:ind w:left="6469" w:hanging="360"/>
      </w:pPr>
    </w:lvl>
    <w:lvl w:ilvl="8" w:tplc="2000001B">
      <w:start w:val="1"/>
      <w:numFmt w:val="lowerRoman"/>
      <w:lvlText w:val="%9."/>
      <w:lvlJc w:val="right"/>
      <w:pPr>
        <w:ind w:left="7189" w:hanging="180"/>
      </w:pPr>
    </w:lvl>
  </w:abstractNum>
  <w:abstractNum w:abstractNumId="3">
    <w:nsid w:val="09B21D16"/>
    <w:multiLevelType w:val="hybridMultilevel"/>
    <w:tmpl w:val="35B486C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0BF43842"/>
    <w:multiLevelType w:val="multilevel"/>
    <w:tmpl w:val="D3B8D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AF5169"/>
    <w:multiLevelType w:val="multilevel"/>
    <w:tmpl w:val="FC40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E90086"/>
    <w:multiLevelType w:val="multilevel"/>
    <w:tmpl w:val="616CD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456190"/>
    <w:multiLevelType w:val="hybridMultilevel"/>
    <w:tmpl w:val="2C02B40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160D2F1F"/>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16624FB1"/>
    <w:multiLevelType w:val="hybridMultilevel"/>
    <w:tmpl w:val="FC2E35F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A736920"/>
    <w:multiLevelType w:val="hybridMultilevel"/>
    <w:tmpl w:val="9634D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C1170E1"/>
    <w:multiLevelType w:val="hybridMultilevel"/>
    <w:tmpl w:val="51382E4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1F7F02B8"/>
    <w:multiLevelType w:val="hybridMultilevel"/>
    <w:tmpl w:val="1018D814"/>
    <w:lvl w:ilvl="0" w:tplc="ACF4B0CE">
      <w:start w:val="1"/>
      <w:numFmt w:val="decimal"/>
      <w:lvlText w:val="%1."/>
      <w:lvlJc w:val="left"/>
      <w:pPr>
        <w:ind w:left="1429" w:hanging="360"/>
      </w:pPr>
    </w:lvl>
    <w:lvl w:ilvl="1" w:tplc="20000019">
      <w:start w:val="1"/>
      <w:numFmt w:val="lowerLetter"/>
      <w:lvlText w:val="%2."/>
      <w:lvlJc w:val="left"/>
      <w:pPr>
        <w:ind w:left="2149" w:hanging="360"/>
      </w:pPr>
    </w:lvl>
    <w:lvl w:ilvl="2" w:tplc="2000001B">
      <w:start w:val="1"/>
      <w:numFmt w:val="lowerRoman"/>
      <w:lvlText w:val="%3."/>
      <w:lvlJc w:val="right"/>
      <w:pPr>
        <w:ind w:left="2869" w:hanging="180"/>
      </w:pPr>
    </w:lvl>
    <w:lvl w:ilvl="3" w:tplc="2000000F">
      <w:start w:val="1"/>
      <w:numFmt w:val="decimal"/>
      <w:lvlText w:val="%4."/>
      <w:lvlJc w:val="left"/>
      <w:pPr>
        <w:ind w:left="3589" w:hanging="360"/>
      </w:pPr>
    </w:lvl>
    <w:lvl w:ilvl="4" w:tplc="20000019">
      <w:start w:val="1"/>
      <w:numFmt w:val="lowerLetter"/>
      <w:lvlText w:val="%5."/>
      <w:lvlJc w:val="left"/>
      <w:pPr>
        <w:ind w:left="4309" w:hanging="360"/>
      </w:pPr>
    </w:lvl>
    <w:lvl w:ilvl="5" w:tplc="2000001B">
      <w:start w:val="1"/>
      <w:numFmt w:val="lowerRoman"/>
      <w:lvlText w:val="%6."/>
      <w:lvlJc w:val="right"/>
      <w:pPr>
        <w:ind w:left="5029" w:hanging="180"/>
      </w:pPr>
    </w:lvl>
    <w:lvl w:ilvl="6" w:tplc="2000000F">
      <w:start w:val="1"/>
      <w:numFmt w:val="decimal"/>
      <w:lvlText w:val="%7."/>
      <w:lvlJc w:val="left"/>
      <w:pPr>
        <w:ind w:left="5749" w:hanging="360"/>
      </w:pPr>
    </w:lvl>
    <w:lvl w:ilvl="7" w:tplc="20000019">
      <w:start w:val="1"/>
      <w:numFmt w:val="lowerLetter"/>
      <w:lvlText w:val="%8."/>
      <w:lvlJc w:val="left"/>
      <w:pPr>
        <w:ind w:left="6469" w:hanging="360"/>
      </w:pPr>
    </w:lvl>
    <w:lvl w:ilvl="8" w:tplc="2000001B">
      <w:start w:val="1"/>
      <w:numFmt w:val="lowerRoman"/>
      <w:lvlText w:val="%9."/>
      <w:lvlJc w:val="right"/>
      <w:pPr>
        <w:ind w:left="7189" w:hanging="180"/>
      </w:pPr>
    </w:lvl>
  </w:abstractNum>
  <w:abstractNum w:abstractNumId="13">
    <w:nsid w:val="1FEB440C"/>
    <w:multiLevelType w:val="hybridMultilevel"/>
    <w:tmpl w:val="02A4B254"/>
    <w:lvl w:ilvl="0" w:tplc="D486A1CE">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5C369D6"/>
    <w:multiLevelType w:val="hybridMultilevel"/>
    <w:tmpl w:val="207A553E"/>
    <w:lvl w:ilvl="0" w:tplc="0419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5">
    <w:nsid w:val="265D0715"/>
    <w:multiLevelType w:val="multilevel"/>
    <w:tmpl w:val="1842F514"/>
    <w:lvl w:ilvl="0">
      <w:start w:val="1"/>
      <w:numFmt w:val="decimal"/>
      <w:lvlText w:val="%1."/>
      <w:lvlJc w:val="left"/>
      <w:pPr>
        <w:ind w:left="928" w:hanging="360"/>
      </w:pPr>
      <w:rPr>
        <w:rFonts w:hint="default"/>
      </w:rPr>
    </w:lvl>
    <w:lvl w:ilvl="1">
      <w:start w:val="1"/>
      <w:numFmt w:val="decimal"/>
      <w:isLgl/>
      <w:lvlText w:val="%1.%2."/>
      <w:lvlJc w:val="left"/>
      <w:pPr>
        <w:ind w:left="1440" w:hanging="720"/>
      </w:pPr>
      <w:rPr>
        <w:rFonts w:ascii="Calibri" w:hAnsi="Calibri" w:cs="Calibri" w:hint="default"/>
        <w:sz w:val="22"/>
      </w:rPr>
    </w:lvl>
    <w:lvl w:ilvl="2">
      <w:start w:val="1"/>
      <w:numFmt w:val="decimal"/>
      <w:isLgl/>
      <w:lvlText w:val="%1.%2.%3."/>
      <w:lvlJc w:val="left"/>
      <w:pPr>
        <w:ind w:left="1800" w:hanging="720"/>
      </w:pPr>
      <w:rPr>
        <w:rFonts w:ascii="Calibri" w:hAnsi="Calibri" w:cs="Calibri" w:hint="default"/>
        <w:sz w:val="22"/>
      </w:rPr>
    </w:lvl>
    <w:lvl w:ilvl="3">
      <w:start w:val="1"/>
      <w:numFmt w:val="decimal"/>
      <w:isLgl/>
      <w:lvlText w:val="%1.%2.%3.%4."/>
      <w:lvlJc w:val="left"/>
      <w:pPr>
        <w:ind w:left="2520" w:hanging="1080"/>
      </w:pPr>
      <w:rPr>
        <w:rFonts w:ascii="Calibri" w:hAnsi="Calibri" w:cs="Calibri" w:hint="default"/>
        <w:sz w:val="22"/>
      </w:rPr>
    </w:lvl>
    <w:lvl w:ilvl="4">
      <w:start w:val="1"/>
      <w:numFmt w:val="decimal"/>
      <w:isLgl/>
      <w:lvlText w:val="%1.%2.%3.%4.%5."/>
      <w:lvlJc w:val="left"/>
      <w:pPr>
        <w:ind w:left="2880" w:hanging="1080"/>
      </w:pPr>
      <w:rPr>
        <w:rFonts w:ascii="Calibri" w:hAnsi="Calibri" w:cs="Calibri" w:hint="default"/>
        <w:sz w:val="22"/>
      </w:rPr>
    </w:lvl>
    <w:lvl w:ilvl="5">
      <w:start w:val="1"/>
      <w:numFmt w:val="decimal"/>
      <w:isLgl/>
      <w:lvlText w:val="%1.%2.%3.%4.%5.%6."/>
      <w:lvlJc w:val="left"/>
      <w:pPr>
        <w:ind w:left="3600" w:hanging="1440"/>
      </w:pPr>
      <w:rPr>
        <w:rFonts w:ascii="Calibri" w:hAnsi="Calibri" w:cs="Calibri" w:hint="default"/>
        <w:sz w:val="22"/>
      </w:rPr>
    </w:lvl>
    <w:lvl w:ilvl="6">
      <w:start w:val="1"/>
      <w:numFmt w:val="decimal"/>
      <w:isLgl/>
      <w:lvlText w:val="%1.%2.%3.%4.%5.%6.%7."/>
      <w:lvlJc w:val="left"/>
      <w:pPr>
        <w:ind w:left="4320" w:hanging="1800"/>
      </w:pPr>
      <w:rPr>
        <w:rFonts w:ascii="Calibri" w:hAnsi="Calibri" w:cs="Calibri" w:hint="default"/>
        <w:sz w:val="22"/>
      </w:rPr>
    </w:lvl>
    <w:lvl w:ilvl="7">
      <w:start w:val="1"/>
      <w:numFmt w:val="decimal"/>
      <w:isLgl/>
      <w:lvlText w:val="%1.%2.%3.%4.%5.%6.%7.%8."/>
      <w:lvlJc w:val="left"/>
      <w:pPr>
        <w:ind w:left="4680" w:hanging="1800"/>
      </w:pPr>
      <w:rPr>
        <w:rFonts w:ascii="Calibri" w:hAnsi="Calibri" w:cs="Calibri" w:hint="default"/>
        <w:sz w:val="22"/>
      </w:rPr>
    </w:lvl>
    <w:lvl w:ilvl="8">
      <w:start w:val="1"/>
      <w:numFmt w:val="decimal"/>
      <w:isLgl/>
      <w:lvlText w:val="%1.%2.%3.%4.%5.%6.%7.%8.%9."/>
      <w:lvlJc w:val="left"/>
      <w:pPr>
        <w:ind w:left="5400" w:hanging="2160"/>
      </w:pPr>
      <w:rPr>
        <w:rFonts w:ascii="Calibri" w:hAnsi="Calibri" w:cs="Calibri" w:hint="default"/>
        <w:sz w:val="22"/>
      </w:rPr>
    </w:lvl>
  </w:abstractNum>
  <w:abstractNum w:abstractNumId="16">
    <w:nsid w:val="26DB4F5B"/>
    <w:multiLevelType w:val="hybridMultilevel"/>
    <w:tmpl w:val="4B84920C"/>
    <w:lvl w:ilvl="0" w:tplc="0419000F">
      <w:start w:val="1"/>
      <w:numFmt w:val="decimal"/>
      <w:lvlText w:val="%1."/>
      <w:lvlJc w:val="left"/>
      <w:pPr>
        <w:ind w:left="1713" w:hanging="360"/>
      </w:pPr>
    </w:lvl>
    <w:lvl w:ilvl="1" w:tplc="04220019" w:tentative="1">
      <w:start w:val="1"/>
      <w:numFmt w:val="lowerLetter"/>
      <w:lvlText w:val="%2."/>
      <w:lvlJc w:val="left"/>
      <w:pPr>
        <w:ind w:left="2433" w:hanging="360"/>
      </w:pPr>
    </w:lvl>
    <w:lvl w:ilvl="2" w:tplc="0422001B" w:tentative="1">
      <w:start w:val="1"/>
      <w:numFmt w:val="lowerRoman"/>
      <w:lvlText w:val="%3."/>
      <w:lvlJc w:val="right"/>
      <w:pPr>
        <w:ind w:left="3153" w:hanging="180"/>
      </w:pPr>
    </w:lvl>
    <w:lvl w:ilvl="3" w:tplc="0422000F" w:tentative="1">
      <w:start w:val="1"/>
      <w:numFmt w:val="decimal"/>
      <w:lvlText w:val="%4."/>
      <w:lvlJc w:val="left"/>
      <w:pPr>
        <w:ind w:left="3873" w:hanging="360"/>
      </w:pPr>
    </w:lvl>
    <w:lvl w:ilvl="4" w:tplc="04220019" w:tentative="1">
      <w:start w:val="1"/>
      <w:numFmt w:val="lowerLetter"/>
      <w:lvlText w:val="%5."/>
      <w:lvlJc w:val="left"/>
      <w:pPr>
        <w:ind w:left="4593" w:hanging="360"/>
      </w:pPr>
    </w:lvl>
    <w:lvl w:ilvl="5" w:tplc="0422001B" w:tentative="1">
      <w:start w:val="1"/>
      <w:numFmt w:val="lowerRoman"/>
      <w:lvlText w:val="%6."/>
      <w:lvlJc w:val="right"/>
      <w:pPr>
        <w:ind w:left="5313" w:hanging="180"/>
      </w:pPr>
    </w:lvl>
    <w:lvl w:ilvl="6" w:tplc="0422000F" w:tentative="1">
      <w:start w:val="1"/>
      <w:numFmt w:val="decimal"/>
      <w:lvlText w:val="%7."/>
      <w:lvlJc w:val="left"/>
      <w:pPr>
        <w:ind w:left="6033" w:hanging="360"/>
      </w:pPr>
    </w:lvl>
    <w:lvl w:ilvl="7" w:tplc="04220019" w:tentative="1">
      <w:start w:val="1"/>
      <w:numFmt w:val="lowerLetter"/>
      <w:lvlText w:val="%8."/>
      <w:lvlJc w:val="left"/>
      <w:pPr>
        <w:ind w:left="6753" w:hanging="360"/>
      </w:pPr>
    </w:lvl>
    <w:lvl w:ilvl="8" w:tplc="0422001B" w:tentative="1">
      <w:start w:val="1"/>
      <w:numFmt w:val="lowerRoman"/>
      <w:lvlText w:val="%9."/>
      <w:lvlJc w:val="right"/>
      <w:pPr>
        <w:ind w:left="7473" w:hanging="180"/>
      </w:pPr>
    </w:lvl>
  </w:abstractNum>
  <w:abstractNum w:abstractNumId="17">
    <w:nsid w:val="2DCD55A5"/>
    <w:multiLevelType w:val="multilevel"/>
    <w:tmpl w:val="C5E43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0545E9"/>
    <w:multiLevelType w:val="hybridMultilevel"/>
    <w:tmpl w:val="2E06FA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3044DA1"/>
    <w:multiLevelType w:val="hybridMultilevel"/>
    <w:tmpl w:val="C724673E"/>
    <w:lvl w:ilvl="0" w:tplc="A49212F0">
      <w:start w:val="1"/>
      <w:numFmt w:val="decimal"/>
      <w:lvlText w:val="%1."/>
      <w:lvlJc w:val="left"/>
      <w:pPr>
        <w:ind w:left="1068" w:hanging="360"/>
      </w:pPr>
      <w:rPr>
        <w:rFonts w:hint="default"/>
        <w:b w:val="0"/>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0">
    <w:nsid w:val="339D551E"/>
    <w:multiLevelType w:val="multilevel"/>
    <w:tmpl w:val="315A9B1E"/>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34BF4063"/>
    <w:multiLevelType w:val="hybridMultilevel"/>
    <w:tmpl w:val="55E6BCAA"/>
    <w:lvl w:ilvl="0" w:tplc="C84CC51A">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2">
    <w:nsid w:val="38D86459"/>
    <w:multiLevelType w:val="hybridMultilevel"/>
    <w:tmpl w:val="519AE140"/>
    <w:lvl w:ilvl="0" w:tplc="B16CF1D0">
      <w:start w:val="1"/>
      <w:numFmt w:val="bullet"/>
      <w:lvlText w:val="-"/>
      <w:lvlJc w:val="left"/>
      <w:pPr>
        <w:ind w:left="720" w:hanging="360"/>
      </w:pPr>
      <w:rPr>
        <w:rFonts w:ascii="Times New Roman" w:eastAsia="Times New Roman" w:hAnsi="Times New Roman" w:cs="Times New Roman" w:hint="default"/>
        <w:b/>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39484817"/>
    <w:multiLevelType w:val="hybridMultilevel"/>
    <w:tmpl w:val="BCD6052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3A8B19A4"/>
    <w:multiLevelType w:val="multilevel"/>
    <w:tmpl w:val="25EC2BBC"/>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nsid w:val="3C9F53FC"/>
    <w:multiLevelType w:val="hybridMultilevel"/>
    <w:tmpl w:val="7F2E7C52"/>
    <w:lvl w:ilvl="0" w:tplc="0419000F">
      <w:start w:val="1"/>
      <w:numFmt w:val="decimal"/>
      <w:lvlText w:val="%1."/>
      <w:lvlJc w:val="left"/>
      <w:pPr>
        <w:ind w:left="1713" w:hanging="360"/>
      </w:pPr>
    </w:lvl>
    <w:lvl w:ilvl="1" w:tplc="04220019" w:tentative="1">
      <w:start w:val="1"/>
      <w:numFmt w:val="lowerLetter"/>
      <w:lvlText w:val="%2."/>
      <w:lvlJc w:val="left"/>
      <w:pPr>
        <w:ind w:left="2433" w:hanging="360"/>
      </w:pPr>
    </w:lvl>
    <w:lvl w:ilvl="2" w:tplc="0422001B" w:tentative="1">
      <w:start w:val="1"/>
      <w:numFmt w:val="lowerRoman"/>
      <w:lvlText w:val="%3."/>
      <w:lvlJc w:val="right"/>
      <w:pPr>
        <w:ind w:left="3153" w:hanging="180"/>
      </w:pPr>
    </w:lvl>
    <w:lvl w:ilvl="3" w:tplc="0422000F" w:tentative="1">
      <w:start w:val="1"/>
      <w:numFmt w:val="decimal"/>
      <w:lvlText w:val="%4."/>
      <w:lvlJc w:val="left"/>
      <w:pPr>
        <w:ind w:left="3873" w:hanging="360"/>
      </w:pPr>
    </w:lvl>
    <w:lvl w:ilvl="4" w:tplc="04220019" w:tentative="1">
      <w:start w:val="1"/>
      <w:numFmt w:val="lowerLetter"/>
      <w:lvlText w:val="%5."/>
      <w:lvlJc w:val="left"/>
      <w:pPr>
        <w:ind w:left="4593" w:hanging="360"/>
      </w:pPr>
    </w:lvl>
    <w:lvl w:ilvl="5" w:tplc="0422001B" w:tentative="1">
      <w:start w:val="1"/>
      <w:numFmt w:val="lowerRoman"/>
      <w:lvlText w:val="%6."/>
      <w:lvlJc w:val="right"/>
      <w:pPr>
        <w:ind w:left="5313" w:hanging="180"/>
      </w:pPr>
    </w:lvl>
    <w:lvl w:ilvl="6" w:tplc="0422000F" w:tentative="1">
      <w:start w:val="1"/>
      <w:numFmt w:val="decimal"/>
      <w:lvlText w:val="%7."/>
      <w:lvlJc w:val="left"/>
      <w:pPr>
        <w:ind w:left="6033" w:hanging="360"/>
      </w:pPr>
    </w:lvl>
    <w:lvl w:ilvl="7" w:tplc="04220019" w:tentative="1">
      <w:start w:val="1"/>
      <w:numFmt w:val="lowerLetter"/>
      <w:lvlText w:val="%8."/>
      <w:lvlJc w:val="left"/>
      <w:pPr>
        <w:ind w:left="6753" w:hanging="360"/>
      </w:pPr>
    </w:lvl>
    <w:lvl w:ilvl="8" w:tplc="0422001B" w:tentative="1">
      <w:start w:val="1"/>
      <w:numFmt w:val="lowerRoman"/>
      <w:lvlText w:val="%9."/>
      <w:lvlJc w:val="right"/>
      <w:pPr>
        <w:ind w:left="7473" w:hanging="180"/>
      </w:pPr>
    </w:lvl>
  </w:abstractNum>
  <w:abstractNum w:abstractNumId="26">
    <w:nsid w:val="42992CC2"/>
    <w:multiLevelType w:val="hybridMultilevel"/>
    <w:tmpl w:val="8968CA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6863959"/>
    <w:multiLevelType w:val="multilevel"/>
    <w:tmpl w:val="A6C07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AE06D2"/>
    <w:multiLevelType w:val="hybridMultilevel"/>
    <w:tmpl w:val="BB2AE2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9AF1279"/>
    <w:multiLevelType w:val="hybridMultilevel"/>
    <w:tmpl w:val="EB14E21E"/>
    <w:lvl w:ilvl="0" w:tplc="F49ED8D8">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4DD93472"/>
    <w:multiLevelType w:val="hybridMultilevel"/>
    <w:tmpl w:val="543CF2A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4E5D171E"/>
    <w:multiLevelType w:val="hybridMultilevel"/>
    <w:tmpl w:val="6082CA54"/>
    <w:lvl w:ilvl="0" w:tplc="78C6CD18">
      <w:start w:val="1"/>
      <w:numFmt w:val="decimal"/>
      <w:lvlText w:val="%1."/>
      <w:lvlJc w:val="left"/>
      <w:pPr>
        <w:tabs>
          <w:tab w:val="num" w:pos="720"/>
        </w:tabs>
        <w:ind w:left="720" w:hanging="360"/>
      </w:pPr>
      <w:rPr>
        <w:b w:val="0"/>
        <w:i/>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2">
    <w:nsid w:val="4FA651C9"/>
    <w:multiLevelType w:val="hybridMultilevel"/>
    <w:tmpl w:val="89FE573C"/>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54EA52A4"/>
    <w:multiLevelType w:val="hybridMultilevel"/>
    <w:tmpl w:val="0634395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556C45EC"/>
    <w:multiLevelType w:val="hybridMultilevel"/>
    <w:tmpl w:val="40E27362"/>
    <w:lvl w:ilvl="0" w:tplc="0419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35">
    <w:nsid w:val="5ABF1DF1"/>
    <w:multiLevelType w:val="hybridMultilevel"/>
    <w:tmpl w:val="CB785FD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nsid w:val="5D72379F"/>
    <w:multiLevelType w:val="hybridMultilevel"/>
    <w:tmpl w:val="06205B04"/>
    <w:lvl w:ilvl="0" w:tplc="0419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37">
    <w:nsid w:val="5E801CBA"/>
    <w:multiLevelType w:val="hybridMultilevel"/>
    <w:tmpl w:val="73DAFD5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8">
    <w:nsid w:val="60A0288E"/>
    <w:multiLevelType w:val="hybridMultilevel"/>
    <w:tmpl w:val="10840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86B2BD5"/>
    <w:multiLevelType w:val="hybridMultilevel"/>
    <w:tmpl w:val="2174B4C4"/>
    <w:lvl w:ilvl="0" w:tplc="7082A798">
      <w:start w:val="7"/>
      <w:numFmt w:val="bullet"/>
      <w:lvlText w:val="-"/>
      <w:lvlJc w:val="left"/>
      <w:pPr>
        <w:ind w:left="1069" w:hanging="360"/>
      </w:pPr>
      <w:rPr>
        <w:rFonts w:ascii="Times New Roman" w:eastAsia="Calibri" w:hAnsi="Times New Roman" w:cs="Times New Roman"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40">
    <w:nsid w:val="6E8C50C7"/>
    <w:multiLevelType w:val="hybridMultilevel"/>
    <w:tmpl w:val="4B34704C"/>
    <w:lvl w:ilvl="0" w:tplc="0419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1">
    <w:nsid w:val="6F7102A2"/>
    <w:multiLevelType w:val="hybridMultilevel"/>
    <w:tmpl w:val="55E6BCAA"/>
    <w:lvl w:ilvl="0" w:tplc="C84CC51A">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2">
    <w:nsid w:val="71A34DFA"/>
    <w:multiLevelType w:val="multilevel"/>
    <w:tmpl w:val="1638A4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963247E"/>
    <w:multiLevelType w:val="multilevel"/>
    <w:tmpl w:val="640A5A5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nsid w:val="7BE67661"/>
    <w:multiLevelType w:val="singleLevel"/>
    <w:tmpl w:val="87C4D72C"/>
    <w:lvl w:ilvl="0">
      <w:start w:val="5"/>
      <w:numFmt w:val="bullet"/>
      <w:lvlText w:val="-"/>
      <w:lvlJc w:val="left"/>
      <w:pPr>
        <w:tabs>
          <w:tab w:val="num" w:pos="1800"/>
        </w:tabs>
        <w:ind w:left="1800" w:hanging="360"/>
      </w:pPr>
      <w:rPr>
        <w:rFonts w:hint="default"/>
      </w:rPr>
    </w:lvl>
  </w:abstractNum>
  <w:abstractNum w:abstractNumId="45">
    <w:nsid w:val="7CA35EB9"/>
    <w:multiLevelType w:val="hybridMultilevel"/>
    <w:tmpl w:val="71565EA2"/>
    <w:lvl w:ilvl="0" w:tplc="0419000F">
      <w:start w:val="1"/>
      <w:numFmt w:val="decimal"/>
      <w:lvlText w:val="%1."/>
      <w:lvlJc w:val="left"/>
      <w:pPr>
        <w:ind w:left="1713" w:hanging="360"/>
      </w:pPr>
    </w:lvl>
    <w:lvl w:ilvl="1" w:tplc="04220019" w:tentative="1">
      <w:start w:val="1"/>
      <w:numFmt w:val="lowerLetter"/>
      <w:lvlText w:val="%2."/>
      <w:lvlJc w:val="left"/>
      <w:pPr>
        <w:ind w:left="2433" w:hanging="360"/>
      </w:pPr>
    </w:lvl>
    <w:lvl w:ilvl="2" w:tplc="0422001B" w:tentative="1">
      <w:start w:val="1"/>
      <w:numFmt w:val="lowerRoman"/>
      <w:lvlText w:val="%3."/>
      <w:lvlJc w:val="right"/>
      <w:pPr>
        <w:ind w:left="3153" w:hanging="180"/>
      </w:pPr>
    </w:lvl>
    <w:lvl w:ilvl="3" w:tplc="0422000F" w:tentative="1">
      <w:start w:val="1"/>
      <w:numFmt w:val="decimal"/>
      <w:lvlText w:val="%4."/>
      <w:lvlJc w:val="left"/>
      <w:pPr>
        <w:ind w:left="3873" w:hanging="360"/>
      </w:pPr>
    </w:lvl>
    <w:lvl w:ilvl="4" w:tplc="04220019" w:tentative="1">
      <w:start w:val="1"/>
      <w:numFmt w:val="lowerLetter"/>
      <w:lvlText w:val="%5."/>
      <w:lvlJc w:val="left"/>
      <w:pPr>
        <w:ind w:left="4593" w:hanging="360"/>
      </w:pPr>
    </w:lvl>
    <w:lvl w:ilvl="5" w:tplc="0422001B" w:tentative="1">
      <w:start w:val="1"/>
      <w:numFmt w:val="lowerRoman"/>
      <w:lvlText w:val="%6."/>
      <w:lvlJc w:val="right"/>
      <w:pPr>
        <w:ind w:left="5313" w:hanging="180"/>
      </w:pPr>
    </w:lvl>
    <w:lvl w:ilvl="6" w:tplc="0422000F" w:tentative="1">
      <w:start w:val="1"/>
      <w:numFmt w:val="decimal"/>
      <w:lvlText w:val="%7."/>
      <w:lvlJc w:val="left"/>
      <w:pPr>
        <w:ind w:left="6033" w:hanging="360"/>
      </w:pPr>
    </w:lvl>
    <w:lvl w:ilvl="7" w:tplc="04220019" w:tentative="1">
      <w:start w:val="1"/>
      <w:numFmt w:val="lowerLetter"/>
      <w:lvlText w:val="%8."/>
      <w:lvlJc w:val="left"/>
      <w:pPr>
        <w:ind w:left="6753" w:hanging="360"/>
      </w:pPr>
    </w:lvl>
    <w:lvl w:ilvl="8" w:tplc="0422001B" w:tentative="1">
      <w:start w:val="1"/>
      <w:numFmt w:val="lowerRoman"/>
      <w:lvlText w:val="%9."/>
      <w:lvlJc w:val="right"/>
      <w:pPr>
        <w:ind w:left="7473" w:hanging="180"/>
      </w:pPr>
    </w:lvl>
  </w:abstractNum>
  <w:abstractNum w:abstractNumId="46">
    <w:nsid w:val="7D602A83"/>
    <w:multiLevelType w:val="multilevel"/>
    <w:tmpl w:val="1B783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num>
  <w:num w:numId="4">
    <w:abstractNumId w:val="37"/>
  </w:num>
  <w:num w:numId="5">
    <w:abstractNumId w:val="39"/>
  </w:num>
  <w:num w:numId="6">
    <w:abstractNumId w:val="33"/>
  </w:num>
  <w:num w:numId="7">
    <w:abstractNumId w:val="11"/>
  </w:num>
  <w:num w:numId="8">
    <w:abstractNumId w:val="1"/>
  </w:num>
  <w:num w:numId="9">
    <w:abstractNumId w:val="9"/>
  </w:num>
  <w:num w:numId="10">
    <w:abstractNumId w:val="29"/>
  </w:num>
  <w:num w:numId="11">
    <w:abstractNumId w:val="41"/>
  </w:num>
  <w:num w:numId="12">
    <w:abstractNumId w:val="22"/>
  </w:num>
  <w:num w:numId="13">
    <w:abstractNumId w:val="21"/>
  </w:num>
  <w:num w:numId="14">
    <w:abstractNumId w:val="35"/>
  </w:num>
  <w:num w:numId="15">
    <w:abstractNumId w:val="19"/>
  </w:num>
  <w:num w:numId="16">
    <w:abstractNumId w:val="27"/>
  </w:num>
  <w:num w:numId="17">
    <w:abstractNumId w:val="5"/>
  </w:num>
  <w:num w:numId="18">
    <w:abstractNumId w:val="42"/>
  </w:num>
  <w:num w:numId="19">
    <w:abstractNumId w:val="17"/>
  </w:num>
  <w:num w:numId="20">
    <w:abstractNumId w:val="46"/>
  </w:num>
  <w:num w:numId="21">
    <w:abstractNumId w:val="23"/>
  </w:num>
  <w:num w:numId="22">
    <w:abstractNumId w:val="3"/>
  </w:num>
  <w:num w:numId="23">
    <w:abstractNumId w:val="15"/>
  </w:num>
  <w:num w:numId="24">
    <w:abstractNumId w:val="10"/>
  </w:num>
  <w:num w:numId="25">
    <w:abstractNumId w:val="6"/>
  </w:num>
  <w:num w:numId="26">
    <w:abstractNumId w:val="0"/>
  </w:num>
  <w:num w:numId="27">
    <w:abstractNumId w:val="4"/>
  </w:num>
  <w:num w:numId="28">
    <w:abstractNumId w:val="7"/>
  </w:num>
  <w:num w:numId="29">
    <w:abstractNumId w:val="18"/>
  </w:num>
  <w:num w:numId="30">
    <w:abstractNumId w:val="28"/>
  </w:num>
  <w:num w:numId="31">
    <w:abstractNumId w:val="38"/>
  </w:num>
  <w:num w:numId="32">
    <w:abstractNumId w:val="26"/>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 w:numId="37">
    <w:abstractNumId w:val="34"/>
  </w:num>
  <w:num w:numId="38">
    <w:abstractNumId w:val="32"/>
  </w:num>
  <w:num w:numId="39">
    <w:abstractNumId w:val="45"/>
  </w:num>
  <w:num w:numId="40">
    <w:abstractNumId w:val="14"/>
  </w:num>
  <w:num w:numId="41">
    <w:abstractNumId w:val="40"/>
  </w:num>
  <w:num w:numId="42">
    <w:abstractNumId w:val="16"/>
  </w:num>
  <w:num w:numId="43">
    <w:abstractNumId w:val="36"/>
  </w:num>
  <w:num w:numId="44">
    <w:abstractNumId w:val="30"/>
  </w:num>
  <w:num w:numId="45">
    <w:abstractNumId w:val="20"/>
  </w:num>
  <w:num w:numId="46">
    <w:abstractNumId w:val="2"/>
  </w:num>
  <w:num w:numId="47">
    <w:abstractNumId w:val="4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20"/>
    <w:rsid w:val="00166220"/>
    <w:rsid w:val="00167693"/>
    <w:rsid w:val="001A029B"/>
    <w:rsid w:val="00281FDB"/>
    <w:rsid w:val="002A06AE"/>
    <w:rsid w:val="0032124B"/>
    <w:rsid w:val="003A03B2"/>
    <w:rsid w:val="005C0EDE"/>
    <w:rsid w:val="00691B6E"/>
    <w:rsid w:val="00815E17"/>
    <w:rsid w:val="00835050"/>
    <w:rsid w:val="008512F9"/>
    <w:rsid w:val="0088636D"/>
    <w:rsid w:val="00956B42"/>
    <w:rsid w:val="00B44B08"/>
    <w:rsid w:val="00C768F8"/>
    <w:rsid w:val="00E77DBD"/>
    <w:rsid w:val="00F311D2"/>
    <w:rsid w:val="00FD60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next w:val="a"/>
    <w:link w:val="20"/>
    <w:unhideWhenUsed/>
    <w:qFormat/>
    <w:rsid w:val="001A029B"/>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val="uk-UA" w:eastAsia="uk-UA"/>
    </w:rPr>
  </w:style>
  <w:style w:type="paragraph" w:styleId="3">
    <w:name w:val="heading 3"/>
    <w:basedOn w:val="a"/>
    <w:next w:val="a"/>
    <w:link w:val="30"/>
    <w:uiPriority w:val="9"/>
    <w:semiHidden/>
    <w:unhideWhenUsed/>
    <w:qFormat/>
    <w:rsid w:val="0032124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5050"/>
    <w:pPr>
      <w:spacing w:after="0" w:line="240" w:lineRule="auto"/>
    </w:pPr>
  </w:style>
  <w:style w:type="paragraph" w:styleId="a4">
    <w:name w:val="header"/>
    <w:basedOn w:val="a"/>
    <w:link w:val="a5"/>
    <w:uiPriority w:val="99"/>
    <w:semiHidden/>
    <w:unhideWhenUsed/>
    <w:rsid w:val="0088636D"/>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88636D"/>
  </w:style>
  <w:style w:type="character" w:styleId="a6">
    <w:name w:val="Hyperlink"/>
    <w:uiPriority w:val="99"/>
    <w:unhideWhenUsed/>
    <w:rsid w:val="0088636D"/>
    <w:rPr>
      <w:strike w:val="0"/>
      <w:dstrike w:val="0"/>
      <w:color w:val="0000FF"/>
      <w:u w:val="none"/>
      <w:effect w:val="none"/>
    </w:rPr>
  </w:style>
  <w:style w:type="paragraph" w:styleId="a7">
    <w:name w:val="Normal (Web)"/>
    <w:basedOn w:val="a"/>
    <w:uiPriority w:val="99"/>
    <w:unhideWhenUsed/>
    <w:rsid w:val="00886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88636D"/>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21">
    <w:name w:val="Основной текст 21"/>
    <w:basedOn w:val="a"/>
    <w:rsid w:val="0088636D"/>
    <w:pPr>
      <w:suppressAutoHyphens/>
      <w:spacing w:after="0" w:line="240" w:lineRule="auto"/>
    </w:pPr>
    <w:rPr>
      <w:rFonts w:ascii="Times New Roman" w:eastAsia="Times New Roman" w:hAnsi="Times New Roman" w:cs="Times New Roman"/>
      <w:sz w:val="28"/>
      <w:szCs w:val="20"/>
      <w:lang w:val="uk-UA" w:eastAsia="ar-SA"/>
    </w:rPr>
  </w:style>
  <w:style w:type="paragraph" w:customStyle="1" w:styleId="rvps2">
    <w:name w:val="rvps2"/>
    <w:basedOn w:val="a"/>
    <w:rsid w:val="00886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ocdata">
    <w:name w:val="docdata"/>
    <w:aliases w:val="docy,v5,6546,baiaagaaboqcaaadlbmaaau6ewaaaaaaaaaaaaaaaaaaaaaaaaaaaaaaaaaaaaaaaaaaaaaaaaaaaaaaaaaaaaaaaaaaaaaaaaaaaaaaaaaaaaaaaaaaaaaaaaaaaaaaaaaaaaaaaaaaaaaaaaaaaaaaaaaaaaaaaaaaaaaaaaaaaaaaaaaaaaaaaaaaaaaaaaaaaaaaaaaaaaaaaaaaaaaaaaaaaaaaaaaaaaaa"/>
    <w:basedOn w:val="a"/>
    <w:rsid w:val="0088636D"/>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Default">
    <w:name w:val="Default"/>
    <w:rsid w:val="0088636D"/>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paragraph" w:styleId="a9">
    <w:name w:val="Balloon Text"/>
    <w:basedOn w:val="a"/>
    <w:link w:val="aa"/>
    <w:uiPriority w:val="99"/>
    <w:semiHidden/>
    <w:unhideWhenUsed/>
    <w:rsid w:val="0088636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8636D"/>
    <w:rPr>
      <w:rFonts w:ascii="Tahoma" w:hAnsi="Tahoma" w:cs="Tahoma"/>
      <w:sz w:val="16"/>
      <w:szCs w:val="16"/>
    </w:rPr>
  </w:style>
  <w:style w:type="character" w:customStyle="1" w:styleId="20">
    <w:name w:val="Заголовок 2 Знак"/>
    <w:basedOn w:val="a0"/>
    <w:link w:val="2"/>
    <w:rsid w:val="001A029B"/>
    <w:rPr>
      <w:rFonts w:ascii="Times New Roman" w:eastAsia="Times New Roman" w:hAnsi="Times New Roman" w:cs="Times New Roman"/>
      <w:b/>
      <w:color w:val="000000"/>
      <w:sz w:val="24"/>
      <w:lang w:val="uk-UA" w:eastAsia="uk-UA"/>
    </w:rPr>
  </w:style>
  <w:style w:type="character" w:customStyle="1" w:styleId="rvts15">
    <w:name w:val="rvts15"/>
    <w:basedOn w:val="a0"/>
    <w:rsid w:val="0032124B"/>
  </w:style>
  <w:style w:type="character" w:customStyle="1" w:styleId="bold">
    <w:name w:val="bold"/>
    <w:basedOn w:val="a0"/>
    <w:rsid w:val="0032124B"/>
  </w:style>
  <w:style w:type="character" w:customStyle="1" w:styleId="30">
    <w:name w:val="Заголовок 3 Знак"/>
    <w:basedOn w:val="a0"/>
    <w:link w:val="3"/>
    <w:uiPriority w:val="9"/>
    <w:semiHidden/>
    <w:rsid w:val="0032124B"/>
    <w:rPr>
      <w:rFonts w:asciiTheme="majorHAnsi" w:eastAsiaTheme="majorEastAsia" w:hAnsiTheme="majorHAnsi" w:cstheme="majorBidi"/>
      <w:b/>
      <w:bCs/>
      <w:color w:val="4F81BD" w:themeColor="accent1"/>
    </w:rPr>
  </w:style>
  <w:style w:type="character" w:styleId="ab">
    <w:name w:val="Strong"/>
    <w:basedOn w:val="a0"/>
    <w:uiPriority w:val="22"/>
    <w:qFormat/>
    <w:rsid w:val="0032124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next w:val="a"/>
    <w:link w:val="20"/>
    <w:unhideWhenUsed/>
    <w:qFormat/>
    <w:rsid w:val="001A029B"/>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val="uk-UA" w:eastAsia="uk-UA"/>
    </w:rPr>
  </w:style>
  <w:style w:type="paragraph" w:styleId="3">
    <w:name w:val="heading 3"/>
    <w:basedOn w:val="a"/>
    <w:next w:val="a"/>
    <w:link w:val="30"/>
    <w:uiPriority w:val="9"/>
    <w:semiHidden/>
    <w:unhideWhenUsed/>
    <w:qFormat/>
    <w:rsid w:val="0032124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5050"/>
    <w:pPr>
      <w:spacing w:after="0" w:line="240" w:lineRule="auto"/>
    </w:pPr>
  </w:style>
  <w:style w:type="paragraph" w:styleId="a4">
    <w:name w:val="header"/>
    <w:basedOn w:val="a"/>
    <w:link w:val="a5"/>
    <w:uiPriority w:val="99"/>
    <w:semiHidden/>
    <w:unhideWhenUsed/>
    <w:rsid w:val="0088636D"/>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88636D"/>
  </w:style>
  <w:style w:type="character" w:styleId="a6">
    <w:name w:val="Hyperlink"/>
    <w:uiPriority w:val="99"/>
    <w:unhideWhenUsed/>
    <w:rsid w:val="0088636D"/>
    <w:rPr>
      <w:strike w:val="0"/>
      <w:dstrike w:val="0"/>
      <w:color w:val="0000FF"/>
      <w:u w:val="none"/>
      <w:effect w:val="none"/>
    </w:rPr>
  </w:style>
  <w:style w:type="paragraph" w:styleId="a7">
    <w:name w:val="Normal (Web)"/>
    <w:basedOn w:val="a"/>
    <w:uiPriority w:val="99"/>
    <w:unhideWhenUsed/>
    <w:rsid w:val="00886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88636D"/>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21">
    <w:name w:val="Основной текст 21"/>
    <w:basedOn w:val="a"/>
    <w:rsid w:val="0088636D"/>
    <w:pPr>
      <w:suppressAutoHyphens/>
      <w:spacing w:after="0" w:line="240" w:lineRule="auto"/>
    </w:pPr>
    <w:rPr>
      <w:rFonts w:ascii="Times New Roman" w:eastAsia="Times New Roman" w:hAnsi="Times New Roman" w:cs="Times New Roman"/>
      <w:sz w:val="28"/>
      <w:szCs w:val="20"/>
      <w:lang w:val="uk-UA" w:eastAsia="ar-SA"/>
    </w:rPr>
  </w:style>
  <w:style w:type="paragraph" w:customStyle="1" w:styleId="rvps2">
    <w:name w:val="rvps2"/>
    <w:basedOn w:val="a"/>
    <w:rsid w:val="00886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ocdata">
    <w:name w:val="docdata"/>
    <w:aliases w:val="docy,v5,6546,baiaagaaboqcaaadlbmaaau6ewaaaaaaaaaaaaaaaaaaaaaaaaaaaaaaaaaaaaaaaaaaaaaaaaaaaaaaaaaaaaaaaaaaaaaaaaaaaaaaaaaaaaaaaaaaaaaaaaaaaaaaaaaaaaaaaaaaaaaaaaaaaaaaaaaaaaaaaaaaaaaaaaaaaaaaaaaaaaaaaaaaaaaaaaaaaaaaaaaaaaaaaaaaaaaaaaaaaaaaaaaaaaaa"/>
    <w:basedOn w:val="a"/>
    <w:rsid w:val="0088636D"/>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Default">
    <w:name w:val="Default"/>
    <w:rsid w:val="0088636D"/>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paragraph" w:styleId="a9">
    <w:name w:val="Balloon Text"/>
    <w:basedOn w:val="a"/>
    <w:link w:val="aa"/>
    <w:uiPriority w:val="99"/>
    <w:semiHidden/>
    <w:unhideWhenUsed/>
    <w:rsid w:val="0088636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8636D"/>
    <w:rPr>
      <w:rFonts w:ascii="Tahoma" w:hAnsi="Tahoma" w:cs="Tahoma"/>
      <w:sz w:val="16"/>
      <w:szCs w:val="16"/>
    </w:rPr>
  </w:style>
  <w:style w:type="character" w:customStyle="1" w:styleId="20">
    <w:name w:val="Заголовок 2 Знак"/>
    <w:basedOn w:val="a0"/>
    <w:link w:val="2"/>
    <w:rsid w:val="001A029B"/>
    <w:rPr>
      <w:rFonts w:ascii="Times New Roman" w:eastAsia="Times New Roman" w:hAnsi="Times New Roman" w:cs="Times New Roman"/>
      <w:b/>
      <w:color w:val="000000"/>
      <w:sz w:val="24"/>
      <w:lang w:val="uk-UA" w:eastAsia="uk-UA"/>
    </w:rPr>
  </w:style>
  <w:style w:type="character" w:customStyle="1" w:styleId="rvts15">
    <w:name w:val="rvts15"/>
    <w:basedOn w:val="a0"/>
    <w:rsid w:val="0032124B"/>
  </w:style>
  <w:style w:type="character" w:customStyle="1" w:styleId="bold">
    <w:name w:val="bold"/>
    <w:basedOn w:val="a0"/>
    <w:rsid w:val="0032124B"/>
  </w:style>
  <w:style w:type="character" w:customStyle="1" w:styleId="30">
    <w:name w:val="Заголовок 3 Знак"/>
    <w:basedOn w:val="a0"/>
    <w:link w:val="3"/>
    <w:uiPriority w:val="9"/>
    <w:semiHidden/>
    <w:rsid w:val="0032124B"/>
    <w:rPr>
      <w:rFonts w:asciiTheme="majorHAnsi" w:eastAsiaTheme="majorEastAsia" w:hAnsiTheme="majorHAnsi" w:cstheme="majorBidi"/>
      <w:b/>
      <w:bCs/>
      <w:color w:val="4F81BD" w:themeColor="accent1"/>
    </w:rPr>
  </w:style>
  <w:style w:type="character" w:styleId="ab">
    <w:name w:val="Strong"/>
    <w:basedOn w:val="a0"/>
    <w:uiPriority w:val="22"/>
    <w:qFormat/>
    <w:rsid w:val="003212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992689">
      <w:bodyDiv w:val="1"/>
      <w:marLeft w:val="0"/>
      <w:marRight w:val="0"/>
      <w:marTop w:val="0"/>
      <w:marBottom w:val="0"/>
      <w:divBdr>
        <w:top w:val="none" w:sz="0" w:space="0" w:color="auto"/>
        <w:left w:val="none" w:sz="0" w:space="0" w:color="auto"/>
        <w:bottom w:val="none" w:sz="0" w:space="0" w:color="auto"/>
        <w:right w:val="none" w:sz="0" w:space="0" w:color="auto"/>
      </w:divBdr>
    </w:div>
    <w:div w:id="912590298">
      <w:bodyDiv w:val="1"/>
      <w:marLeft w:val="0"/>
      <w:marRight w:val="0"/>
      <w:marTop w:val="0"/>
      <w:marBottom w:val="0"/>
      <w:divBdr>
        <w:top w:val="none" w:sz="0" w:space="0" w:color="auto"/>
        <w:left w:val="none" w:sz="0" w:space="0" w:color="auto"/>
        <w:bottom w:val="none" w:sz="0" w:space="0" w:color="auto"/>
        <w:right w:val="none" w:sz="0" w:space="0" w:color="auto"/>
      </w:divBdr>
    </w:div>
    <w:div w:id="1042556322">
      <w:bodyDiv w:val="1"/>
      <w:marLeft w:val="0"/>
      <w:marRight w:val="0"/>
      <w:marTop w:val="0"/>
      <w:marBottom w:val="0"/>
      <w:divBdr>
        <w:top w:val="none" w:sz="0" w:space="0" w:color="auto"/>
        <w:left w:val="none" w:sz="0" w:space="0" w:color="auto"/>
        <w:bottom w:val="none" w:sz="0" w:space="0" w:color="auto"/>
        <w:right w:val="none" w:sz="0" w:space="0" w:color="auto"/>
      </w:divBdr>
    </w:div>
    <w:div w:id="1624506859">
      <w:bodyDiv w:val="1"/>
      <w:marLeft w:val="0"/>
      <w:marRight w:val="0"/>
      <w:marTop w:val="0"/>
      <w:marBottom w:val="0"/>
      <w:divBdr>
        <w:top w:val="none" w:sz="0" w:space="0" w:color="auto"/>
        <w:left w:val="none" w:sz="0" w:space="0" w:color="auto"/>
        <w:bottom w:val="none" w:sz="0" w:space="0" w:color="auto"/>
        <w:right w:val="none" w:sz="0" w:space="0" w:color="auto"/>
      </w:divBdr>
    </w:div>
    <w:div w:id="205646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x.ua/about/buy-book" TargetMode="External"/><Relationship Id="rId21" Type="http://schemas.openxmlformats.org/officeDocument/2006/relationships/hyperlink" Target="http://www.drlz.com.ua/ibp/ddsite.nsf/all/shlist?opendocument" TargetMode="External"/><Relationship Id="rId42" Type="http://schemas.openxmlformats.org/officeDocument/2006/relationships/hyperlink" Target="https://compendium.com.ua/uk/" TargetMode="External"/><Relationship Id="rId47" Type="http://schemas.openxmlformats.org/officeDocument/2006/relationships/hyperlink" Target="https://rx.ua/" TargetMode="External"/><Relationship Id="rId63" Type="http://schemas.openxmlformats.org/officeDocument/2006/relationships/hyperlink" Target="https://tabletki.ua/" TargetMode="External"/><Relationship Id="rId68" Type="http://schemas.openxmlformats.org/officeDocument/2006/relationships/image" Target="media/image8.png"/><Relationship Id="rId84" Type="http://schemas.openxmlformats.org/officeDocument/2006/relationships/hyperlink" Target="https://likicontrol.com.ua/" TargetMode="External"/><Relationship Id="rId89" Type="http://schemas.openxmlformats.org/officeDocument/2006/relationships/image" Target="media/image11.png"/><Relationship Id="rId1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zakon.rada.gov.ua/laws/show/" TargetMode="External"/><Relationship Id="rId29" Type="http://schemas.openxmlformats.org/officeDocument/2006/relationships/image" Target="media/image3.jpeg"/><Relationship Id="rId107" Type="http://schemas.openxmlformats.org/officeDocument/2006/relationships/hyperlink" Target="https://tabletki.ua/" TargetMode="External"/><Relationship Id="rId11" Type="http://schemas.openxmlformats.org/officeDocument/2006/relationships/hyperlink" Target="https://dspace.zsmu.edu.ua/bitstream/123456789/14707/1/%21%D0%9E%D0%95%D0%A4%20%D0%A4%D0%90%D0%A0%D0%9C%20%D0%9F%D0%9E%D0%A1%D0%86%D0%91%D0%9D%D0%98%D0%9A%20%D0%A1%D0%9E%D0%A6.%D0%A4%D0%90%D0%A0%D0%9C%D0%86%D0%A6%D0%86%D0%AF%20%D0%BC%D0%B0%D0%B3%D1%96%D1%81%D1%82%D1%80%D0%B8.pdf" TargetMode="External"/><Relationship Id="rId24" Type="http://schemas.openxmlformats.org/officeDocument/2006/relationships/hyperlink" Target="https://tabletki.ua/" TargetMode="External"/><Relationship Id="rId32" Type="http://schemas.openxmlformats.org/officeDocument/2006/relationships/hyperlink" Target="https://repository.pdmu.edu.ua/server/api/core/bitstreams/5e13e278-d3db-4996-bc6b-de1cda86b67f/content" TargetMode="External"/><Relationship Id="rId37" Type="http://schemas.openxmlformats.org/officeDocument/2006/relationships/hyperlink" Target="https://moz.gov.ua/" TargetMode="External"/><Relationship Id="rId40" Type="http://schemas.openxmlformats.org/officeDocument/2006/relationships/hyperlink" Target="https://www.dec.gov.ua/materials/chinnij-vipusk-derzhavnogo-formulyara-likarskih-zasobiv/?role=ua" TargetMode="External"/><Relationship Id="rId45" Type="http://schemas.openxmlformats.org/officeDocument/2006/relationships/hyperlink" Target="https://likicontrol.com.ua/" TargetMode="External"/><Relationship Id="rId53" Type="http://schemas.openxmlformats.org/officeDocument/2006/relationships/hyperlink" Target="https://journals.indexcopernicus.com/api/file/viewByFileId/1946082" TargetMode="External"/><Relationship Id="rId58" Type="http://schemas.openxmlformats.org/officeDocument/2006/relationships/hyperlink" Target="https://www.dec.gov.ua/" TargetMode="External"/><Relationship Id="rId66" Type="http://schemas.openxmlformats.org/officeDocument/2006/relationships/hyperlink" Target="https://rx.ua/" TargetMode="External"/><Relationship Id="rId74" Type="http://schemas.openxmlformats.org/officeDocument/2006/relationships/hyperlink" Target="https://re.gov.ua/re202104/re202104_029_SmirnovaHV.pdf" TargetMode="External"/><Relationship Id="rId79" Type="http://schemas.openxmlformats.org/officeDocument/2006/relationships/hyperlink" Target="https://www.dec.gov.ua/materials/chinnij-vipusk-derzhavnogo-formulyara-likarskih-zasobiv/?role=ua" TargetMode="External"/><Relationship Id="rId87" Type="http://schemas.openxmlformats.org/officeDocument/2006/relationships/image" Target="media/image9.png"/><Relationship Id="rId102" Type="http://schemas.openxmlformats.org/officeDocument/2006/relationships/hyperlink" Target="https://www.dec.gov.ua/" TargetMode="External"/><Relationship Id="rId110" Type="http://schemas.openxmlformats.org/officeDocument/2006/relationships/hyperlink" Target="https://rx.ua/" TargetMode="External"/><Relationship Id="rId5" Type="http://schemas.openxmlformats.org/officeDocument/2006/relationships/settings" Target="settings.xml"/><Relationship Id="rId61" Type="http://schemas.openxmlformats.org/officeDocument/2006/relationships/hyperlink" Target="https://compendium.com.ua/uk/" TargetMode="External"/><Relationship Id="rId82" Type="http://schemas.openxmlformats.org/officeDocument/2006/relationships/hyperlink" Target="https://www.apteka.ua/" TargetMode="External"/><Relationship Id="rId90" Type="http://schemas.openxmlformats.org/officeDocument/2006/relationships/image" Target="media/image12.png"/><Relationship Id="rId95" Type="http://schemas.openxmlformats.org/officeDocument/2006/relationships/hyperlink" Target="https://repository.pdmu.edu.ua/server/api/core/bitstreams/5e13e278-d3db-4996-bc6b-de1cda86b67f/content" TargetMode="External"/><Relationship Id="rId19" Type="http://schemas.openxmlformats.org/officeDocument/2006/relationships/hyperlink" Target="https://www.dec.gov.ua/" TargetMode="External"/><Relationship Id="rId14" Type="http://schemas.openxmlformats.org/officeDocument/2006/relationships/hyperlink" Target="https://journals.indexcopernicus.com/api/file/viewByFileId/1946082" TargetMode="External"/><Relationship Id="rId22" Type="http://schemas.openxmlformats.org/officeDocument/2006/relationships/hyperlink" Target="https://compendium.com.ua/uk/" TargetMode="External"/><Relationship Id="rId27" Type="http://schemas.openxmlformats.org/officeDocument/2006/relationships/hyperlink" Target="https://rx.ua/" TargetMode="External"/><Relationship Id="rId30" Type="http://schemas.openxmlformats.org/officeDocument/2006/relationships/image" Target="media/image4.jpeg"/><Relationship Id="rId35" Type="http://schemas.openxmlformats.org/officeDocument/2006/relationships/hyperlink" Target="https://re.gov.ua/re202104/re202104_029_SmirnovaHV.pdf" TargetMode="External"/><Relationship Id="rId43" Type="http://schemas.openxmlformats.org/officeDocument/2006/relationships/hyperlink" Target="https://www.apteka.ua/" TargetMode="External"/><Relationship Id="rId48" Type="http://schemas.openxmlformats.org/officeDocument/2006/relationships/image" Target="media/image5.png"/><Relationship Id="rId56" Type="http://schemas.openxmlformats.org/officeDocument/2006/relationships/hyperlink" Target="https://moz.gov.ua/" TargetMode="External"/><Relationship Id="rId64" Type="http://schemas.openxmlformats.org/officeDocument/2006/relationships/hyperlink" Target="https://likicontrol.com.ua/" TargetMode="External"/><Relationship Id="rId69" Type="http://schemas.openxmlformats.org/officeDocument/2006/relationships/hyperlink" Target="file:///D:/home/e210275boi/Downloads/42238-83525-1-SM.pdf" TargetMode="External"/><Relationship Id="rId77" Type="http://schemas.openxmlformats.org/officeDocument/2006/relationships/hyperlink" Target="https://www.dls.gov.ua/" TargetMode="External"/><Relationship Id="rId100" Type="http://schemas.openxmlformats.org/officeDocument/2006/relationships/hyperlink" Target="https://moz.gov.ua/" TargetMode="External"/><Relationship Id="rId105" Type="http://schemas.openxmlformats.org/officeDocument/2006/relationships/hyperlink" Target="https://compendium.com.ua/uk/" TargetMode="External"/><Relationship Id="rId113"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repository.pdmu.edu.ua/server/api/core/bitstreams/5e13e278-d3db-4996-bc6b-de1cda86b67f/content" TargetMode="External"/><Relationship Id="rId72" Type="http://schemas.openxmlformats.org/officeDocument/2006/relationships/hyperlink" Target="https://vista-mediclub.com/images/products/navchal%CA%B9nyy_posibnyk.pdf" TargetMode="External"/><Relationship Id="rId80" Type="http://schemas.openxmlformats.org/officeDocument/2006/relationships/hyperlink" Target="http://www.drlz.com.ua/ibp/ddsite.nsf/all/shlist?opendocument" TargetMode="External"/><Relationship Id="rId85" Type="http://schemas.openxmlformats.org/officeDocument/2006/relationships/hyperlink" Target="https://rx.ua/about/buy-book" TargetMode="External"/><Relationship Id="rId93" Type="http://schemas.openxmlformats.org/officeDocument/2006/relationships/image" Target="media/image15.jpeg"/><Relationship Id="rId98" Type="http://schemas.openxmlformats.org/officeDocument/2006/relationships/hyperlink" Target="https://re.gov.ua/re202104/re202104_029_SmirnovaHV.pdf" TargetMode="External"/><Relationship Id="rId3" Type="http://schemas.openxmlformats.org/officeDocument/2006/relationships/styles" Target="styles.xml"/><Relationship Id="rId12" Type="http://schemas.openxmlformats.org/officeDocument/2006/relationships/hyperlink" Target="https://repository.pdmu.edu.ua/server/api/core/bitstreams/5e13e278-d3db-4996-bc6b-de1cda86b67f/content" TargetMode="External"/><Relationship Id="rId17" Type="http://schemas.openxmlformats.org/officeDocument/2006/relationships/hyperlink" Target="https://moz.gov.ua/" TargetMode="External"/><Relationship Id="rId25" Type="http://schemas.openxmlformats.org/officeDocument/2006/relationships/hyperlink" Target="https://likicontrol.com.ua/" TargetMode="External"/><Relationship Id="rId33" Type="http://schemas.openxmlformats.org/officeDocument/2006/relationships/hyperlink" Target="https://vista-mediclub.com/images/products/navchal%CA%B9nyy_posibnyk.pdf" TargetMode="External"/><Relationship Id="rId38" Type="http://schemas.openxmlformats.org/officeDocument/2006/relationships/hyperlink" Target="https://www.dls.gov.ua/" TargetMode="External"/><Relationship Id="rId46" Type="http://schemas.openxmlformats.org/officeDocument/2006/relationships/hyperlink" Target="https://rx.ua/about/buy-book" TargetMode="External"/><Relationship Id="rId59" Type="http://schemas.openxmlformats.org/officeDocument/2006/relationships/hyperlink" Target="https://www.dec.gov.ua/materials/chinnij-vipusk-derzhavnogo-formulyara-likarskih-zasobiv/?role=ua" TargetMode="External"/><Relationship Id="rId67" Type="http://schemas.openxmlformats.org/officeDocument/2006/relationships/image" Target="media/image7.png"/><Relationship Id="rId103" Type="http://schemas.openxmlformats.org/officeDocument/2006/relationships/hyperlink" Target="https://www.dec.gov.ua/materials/chinnij-vipusk-derzhavnogo-formulyara-likarskih-zasobiv/?role=ua" TargetMode="External"/><Relationship Id="rId108" Type="http://schemas.openxmlformats.org/officeDocument/2006/relationships/hyperlink" Target="https://likicontrol.com.ua/" TargetMode="External"/><Relationship Id="rId20" Type="http://schemas.openxmlformats.org/officeDocument/2006/relationships/hyperlink" Target="https://www.dec.gov.ua/materials/chinnij-vipusk-derzhavnogo-formulyara-likarskih-zasobiv/?role=ua" TargetMode="External"/><Relationship Id="rId41" Type="http://schemas.openxmlformats.org/officeDocument/2006/relationships/hyperlink" Target="http://www.drlz.com.ua/ibp/ddsite.nsf/all/shlist?opendocument" TargetMode="External"/><Relationship Id="rId54" Type="http://schemas.openxmlformats.org/officeDocument/2006/relationships/hyperlink" Target="https://re.gov.ua/re202104/re202104_029_SmirnovaHV.pdf" TargetMode="External"/><Relationship Id="rId62" Type="http://schemas.openxmlformats.org/officeDocument/2006/relationships/hyperlink" Target="https://www.apteka.ua/" TargetMode="External"/><Relationship Id="rId70" Type="http://schemas.openxmlformats.org/officeDocument/2006/relationships/hyperlink" Target="https://dspace.zsmu.edu.ua/bitstream/123456789/14707/1/%21%D0%9E%D0%95%D0%A4%20%D0%A4%D0%90%D0%A0%D0%9C%20%D0%9F%D0%9E%D0%A1%D0%86%D0%91%D0%9D%D0%98%D0%9A%20%D0%A1%D0%9E%D0%A6.%D0%A4%D0%90%D0%A0%D0%9C%D0%86%D0%A6%D0%86%D0%AF%20%D0%BC%D0%B0%D0%B3%D1%96%D1%81%D1%82%D1%80%D0%B8.pdf" TargetMode="External"/><Relationship Id="rId75" Type="http://schemas.openxmlformats.org/officeDocument/2006/relationships/hyperlink" Target="https://zakon.rada.gov.ua/laws/show/" TargetMode="External"/><Relationship Id="rId83" Type="http://schemas.openxmlformats.org/officeDocument/2006/relationships/hyperlink" Target="https://tabletki.ua/" TargetMode="External"/><Relationship Id="rId88" Type="http://schemas.openxmlformats.org/officeDocument/2006/relationships/image" Target="media/image10.png"/><Relationship Id="rId91" Type="http://schemas.openxmlformats.org/officeDocument/2006/relationships/image" Target="media/image13.png"/><Relationship Id="rId96" Type="http://schemas.openxmlformats.org/officeDocument/2006/relationships/hyperlink" Target="https://vista-mediclub.com/images/products/navchal%CA%B9nyy_posibnyk.pdf" TargetMode="External"/><Relationship Id="rId11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re.gov.ua/re202104/re202104_029_SmirnovaHV.pdf" TargetMode="External"/><Relationship Id="rId23" Type="http://schemas.openxmlformats.org/officeDocument/2006/relationships/hyperlink" Target="https://www.apteka.ua/" TargetMode="External"/><Relationship Id="rId28" Type="http://schemas.openxmlformats.org/officeDocument/2006/relationships/hyperlink" Target="http://www.apteka.ua/article/134194" TargetMode="External"/><Relationship Id="rId36" Type="http://schemas.openxmlformats.org/officeDocument/2006/relationships/hyperlink" Target="https://zakon.rada.gov.ua/laws/show/" TargetMode="External"/><Relationship Id="rId49" Type="http://schemas.openxmlformats.org/officeDocument/2006/relationships/image" Target="media/image6.png"/><Relationship Id="rId57" Type="http://schemas.openxmlformats.org/officeDocument/2006/relationships/hyperlink" Target="https://www.dls.gov.ua/" TargetMode="External"/><Relationship Id="rId106" Type="http://schemas.openxmlformats.org/officeDocument/2006/relationships/hyperlink" Target="https://www.apteka.ua/" TargetMode="External"/><Relationship Id="rId10" Type="http://schemas.openxmlformats.org/officeDocument/2006/relationships/image" Target="media/image2.png"/><Relationship Id="rId31" Type="http://schemas.openxmlformats.org/officeDocument/2006/relationships/hyperlink" Target="https://dspace.zsmu.edu.ua/bitstream/123456789/14707/1/%21%D0%9E%D0%95%D0%A4%20%D0%A4%D0%90%D0%A0%D0%9C%20%D0%9F%D0%9E%D0%A1%D0%86%D0%91%D0%9D%D0%98%D0%9A%20%D0%A1%D0%9E%D0%A6.%D0%A4%D0%90%D0%A0%D0%9C%D0%86%D0%A6%D0%86%D0%AF%20%D0%BC%D0%B0%D0%B3%D1%96%D1%81%D1%82%D1%80%D0%B8.pdf" TargetMode="External"/><Relationship Id="rId44" Type="http://schemas.openxmlformats.org/officeDocument/2006/relationships/hyperlink" Target="https://tabletki.ua/" TargetMode="External"/><Relationship Id="rId52" Type="http://schemas.openxmlformats.org/officeDocument/2006/relationships/hyperlink" Target="https://vista-mediclub.com/images/products/navchal%CA%B9nyy_posibnyk.pdf" TargetMode="External"/><Relationship Id="rId60" Type="http://schemas.openxmlformats.org/officeDocument/2006/relationships/hyperlink" Target="http://www.drlz.com.ua/ibp/ddsite.nsf/all/shlist?opendocument" TargetMode="External"/><Relationship Id="rId65" Type="http://schemas.openxmlformats.org/officeDocument/2006/relationships/hyperlink" Target="https://rx.ua/about/buy-book" TargetMode="External"/><Relationship Id="rId73" Type="http://schemas.openxmlformats.org/officeDocument/2006/relationships/hyperlink" Target="https://journals.indexcopernicus.com/api/file/viewByFileId/1946082" TargetMode="External"/><Relationship Id="rId78" Type="http://schemas.openxmlformats.org/officeDocument/2006/relationships/hyperlink" Target="https://www.dec.gov.ua/" TargetMode="External"/><Relationship Id="rId81" Type="http://schemas.openxmlformats.org/officeDocument/2006/relationships/hyperlink" Target="https://compendium.com.ua/uk/" TargetMode="External"/><Relationship Id="rId86" Type="http://schemas.openxmlformats.org/officeDocument/2006/relationships/hyperlink" Target="https://rx.ua/" TargetMode="External"/><Relationship Id="rId94" Type="http://schemas.openxmlformats.org/officeDocument/2006/relationships/hyperlink" Target="https://dspace.zsmu.edu.ua/bitstream/123456789/14707/1/%21%D0%9E%D0%95%D0%A4%20%D0%A4%D0%90%D0%A0%D0%9C%20%D0%9F%D0%9E%D0%A1%D0%86%D0%91%D0%9D%D0%98%D0%9A%20%D0%A1%D0%9E%D0%A6.%D0%A4%D0%90%D0%A0%D0%9C%D0%86%D0%A6%D0%86%D0%AF%20%D0%BC%D0%B0%D0%B3%D1%96%D1%81%D1%82%D1%80%D0%B8.pdf" TargetMode="External"/><Relationship Id="rId99" Type="http://schemas.openxmlformats.org/officeDocument/2006/relationships/hyperlink" Target="https://zakon.rada.gov.ua/laws/show/" TargetMode="External"/><Relationship Id="rId101" Type="http://schemas.openxmlformats.org/officeDocument/2006/relationships/hyperlink" Target="https://www.dls.gov.ua/" TargetMode="External"/><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hyperlink" Target="https://vista-mediclub.com/images/products/navchal%CA%B9nyy_posibnyk.pdf" TargetMode="External"/><Relationship Id="rId18" Type="http://schemas.openxmlformats.org/officeDocument/2006/relationships/hyperlink" Target="https://www.dls.gov.ua/" TargetMode="External"/><Relationship Id="rId39" Type="http://schemas.openxmlformats.org/officeDocument/2006/relationships/hyperlink" Target="https://www.dec.gov.ua/" TargetMode="External"/><Relationship Id="rId109" Type="http://schemas.openxmlformats.org/officeDocument/2006/relationships/hyperlink" Target="https://rx.ua/about/buy-book" TargetMode="External"/><Relationship Id="rId34" Type="http://schemas.openxmlformats.org/officeDocument/2006/relationships/hyperlink" Target="https://journals.indexcopernicus.com/api/file/viewByFileId/1946082" TargetMode="External"/><Relationship Id="rId50" Type="http://schemas.openxmlformats.org/officeDocument/2006/relationships/hyperlink" Target="https://dspace.zsmu.edu.ua/bitstream/123456789/14707/1/%21%D0%9E%D0%95%D0%A4%20%D0%A4%D0%90%D0%A0%D0%9C%20%D0%9F%D0%9E%D0%A1%D0%86%D0%91%D0%9D%D0%98%D0%9A%20%D0%A1%D0%9E%D0%A6.%D0%A4%D0%90%D0%A0%D0%9C%D0%86%D0%A6%D0%86%D0%AF%20%D0%BC%D0%B0%D0%B3%D1%96%D1%81%D1%82%D1%80%D0%B8.pdf" TargetMode="External"/><Relationship Id="rId55" Type="http://schemas.openxmlformats.org/officeDocument/2006/relationships/hyperlink" Target="https://zakon.rada.gov.ua/laws/show/" TargetMode="External"/><Relationship Id="rId76" Type="http://schemas.openxmlformats.org/officeDocument/2006/relationships/hyperlink" Target="https://moz.gov.ua/" TargetMode="External"/><Relationship Id="rId97" Type="http://schemas.openxmlformats.org/officeDocument/2006/relationships/hyperlink" Target="https://journals.indexcopernicus.com/api/file/viewByFileId/1946082" TargetMode="External"/><Relationship Id="rId104" Type="http://schemas.openxmlformats.org/officeDocument/2006/relationships/hyperlink" Target="http://www.drlz.com.ua/ibp/ddsite.nsf/all/shlist?opendocument" TargetMode="External"/><Relationship Id="rId7" Type="http://schemas.openxmlformats.org/officeDocument/2006/relationships/footnotes" Target="footnotes.xml"/><Relationship Id="rId71" Type="http://schemas.openxmlformats.org/officeDocument/2006/relationships/hyperlink" Target="https://repository.pdmu.edu.ua/server/api/core/bitstreams/5e13e278-d3db-4996-bc6b-de1cda86b67f/content" TargetMode="External"/><Relationship Id="rId92" Type="http://schemas.openxmlformats.org/officeDocument/2006/relationships/image" Target="media/image1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5F071-FAD6-4C9B-9253-C65548AEE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65</Pages>
  <Words>119320</Words>
  <Characters>68013</Characters>
  <Application>Microsoft Office Word</Application>
  <DocSecurity>0</DocSecurity>
  <Lines>566</Lines>
  <Paragraphs>373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186960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Майя Образенко</dc:creator>
  <cp:lastModifiedBy>Майя Образенко</cp:lastModifiedBy>
  <cp:revision>8</cp:revision>
  <dcterms:created xsi:type="dcterms:W3CDTF">2024-03-18T08:10:00Z</dcterms:created>
  <dcterms:modified xsi:type="dcterms:W3CDTF">2026-03-18T10:19:00Z</dcterms:modified>
</cp:coreProperties>
</file>