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5DA1" w:rsidRPr="00025DA1" w:rsidRDefault="00025DA1" w:rsidP="00025DA1">
      <w:pPr>
        <w:shd w:val="clear" w:color="auto" w:fill="FFFFFF"/>
        <w:jc w:val="center"/>
        <w:rPr>
          <w:b/>
          <w:sz w:val="28"/>
          <w:szCs w:val="28"/>
          <w:u w:val="single"/>
          <w:lang w:val="uk-UA"/>
        </w:rPr>
      </w:pPr>
      <w:r w:rsidRPr="00025DA1">
        <w:rPr>
          <w:b/>
          <w:sz w:val="28"/>
          <w:szCs w:val="28"/>
          <w:u w:val="single"/>
          <w:lang w:val="uk-UA"/>
        </w:rPr>
        <w:t>Перелік питань, які повинен засвоїти студент в процесі вивчення ди</w:t>
      </w:r>
      <w:r w:rsidR="0039333F">
        <w:rPr>
          <w:b/>
          <w:sz w:val="28"/>
          <w:szCs w:val="28"/>
          <w:u w:val="single"/>
          <w:lang w:val="uk-UA"/>
        </w:rPr>
        <w:t xml:space="preserve">сципліни «Виробнича </w:t>
      </w:r>
      <w:r w:rsidR="00884861">
        <w:rPr>
          <w:b/>
          <w:sz w:val="28"/>
          <w:szCs w:val="28"/>
          <w:u w:val="single"/>
          <w:lang w:val="uk-UA"/>
        </w:rPr>
        <w:t xml:space="preserve">фармацевтична </w:t>
      </w:r>
      <w:r w:rsidR="0039333F">
        <w:rPr>
          <w:b/>
          <w:sz w:val="28"/>
          <w:szCs w:val="28"/>
          <w:u w:val="single"/>
          <w:lang w:val="uk-UA"/>
        </w:rPr>
        <w:t xml:space="preserve">практика з </w:t>
      </w:r>
      <w:r w:rsidR="00884861">
        <w:rPr>
          <w:b/>
          <w:sz w:val="28"/>
          <w:szCs w:val="28"/>
          <w:u w:val="single"/>
          <w:lang w:val="uk-UA"/>
        </w:rPr>
        <w:t>те</w:t>
      </w:r>
      <w:bookmarkStart w:id="0" w:name="_GoBack"/>
      <w:bookmarkEnd w:id="0"/>
      <w:r w:rsidR="0039333F">
        <w:rPr>
          <w:b/>
          <w:sz w:val="28"/>
          <w:szCs w:val="28"/>
          <w:u w:val="single"/>
          <w:lang w:val="uk-UA"/>
        </w:rPr>
        <w:t>хнології ліків</w:t>
      </w:r>
      <w:r w:rsidRPr="00025DA1">
        <w:rPr>
          <w:b/>
          <w:sz w:val="28"/>
          <w:szCs w:val="28"/>
          <w:u w:val="single"/>
          <w:lang w:val="uk-UA"/>
        </w:rPr>
        <w:t>»</w:t>
      </w:r>
    </w:p>
    <w:p w:rsidR="00025DA1" w:rsidRPr="00025DA1" w:rsidRDefault="00025DA1" w:rsidP="00025DA1">
      <w:pPr>
        <w:shd w:val="clear" w:color="auto" w:fill="FFFFFF"/>
        <w:jc w:val="both"/>
        <w:rPr>
          <w:b/>
          <w:sz w:val="28"/>
          <w:szCs w:val="28"/>
          <w:u w:val="single"/>
          <w:lang w:val="uk-UA"/>
        </w:rPr>
      </w:pPr>
    </w:p>
    <w:p w:rsidR="00EA44A2" w:rsidRDefault="00EA44A2" w:rsidP="00EA44A2">
      <w:pPr>
        <w:pStyle w:val="a5"/>
        <w:rPr>
          <w:iCs/>
          <w:sz w:val="28"/>
          <w:szCs w:val="28"/>
        </w:rPr>
      </w:pPr>
      <w:r>
        <w:rPr>
          <w:iCs/>
          <w:sz w:val="28"/>
          <w:szCs w:val="28"/>
        </w:rPr>
        <w:t>Практичні навички, що контролюється під час диференційного заліку: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Змішування. Змішування порошкоподібних матеріалів. Класифікація змішувачів.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 xml:space="preserve">Порошки. Класифікація. Технологія порошків. Автоматичні дозатори порошків.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Способи очищення розчинів Центрифуги відстійні та фільтруючі. Супер-центрифуги. Фільтри: нутч- і друк, фільтр-прес.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 Сиропи. Характеристика. Класифікація. Виробництво сиропів.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 Ароматні води. Ароматні води. Апаратура для одержання перегнаних ароматних вод.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 Алкоголеметрія. Концентрація спирту, методи і прилади для її визначення.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>Визначення вмісту безводного спирту в водно-спиртових розчинах. Облік спирту.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 Екстракційні препарати. Теоретичні основи екстрагування.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>Фактори, які впливають на процес екстрагування. В'язкість. Поверхнево-активні речовини. Гідродинаміка шару рослинної сировини.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 Апаратура для екстрагування: мацераційні баки, комуніціровані і некомуніціровані батареї екстракторів. Екстрактори безперервної дії.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 Рекуперація і ректифікація спирту. Рекуперація спирту з відпрацьованої сировини витісненням водою та перегонкою з водяною порою. Обладнання.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 Мацерація, можливості її інтенсифікації. Перколяція.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 Екстракти. Класифікація за консистенцією та екстрагентом, що застосовується. Рідкі екстракти - методи одержання.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Номенклатура рідких екстрактів. Густі та сухі екстракти - методи одержання.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 Препарати тваринної сировини. Особливості тваринної сировини.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Технологія одержання препаратів для внутрішнього вживання і парентерального введення. Стандартизація.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 Ферментні препарати. Характеристика. Класифікація. Ферменти вищих рослин.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 Ферменти мікробіологічного синтезу. Штами мікробіологічного синтезу та вимоги, що до них висуваються.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Приготування і знезараження поживних середовищ, очищення та стерилізація повітря.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Мікробіологічний контроль стадій виробництва. Проведення процесів ферментації. Ферментатори.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Зберігання культури та розмноження посівного матеріалу. Одержання посівного матеріалу в цеху чистої культури.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Основна ферментація. Виділення продуктів ферментації. Апаратура для  обробки  продуктів  ферментації. 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 Значення гранулювання. Гранулювання сухе, вологе, опудрення грануляту.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 Вплив виду грануляції на біологічну доступність препаратів. Аналіз грануляту.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 Пресування. Таблеткові преси: ударні і роторні.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Порівняльна характеристика таблеточних пресів і принцип їх работи. Вплив тиску пресування на терапевтичну ефективність таблеток. Пряме пресування.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Методи нанесення оболонок. Мета нанесення.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>Технологія дражування: обкатування, шліфування, глянсування, полірування. Обдуктори. Плівкові покриття.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 Типи і властивості плівкових покрить. Апаратура.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Напресовані покриття. Технологія плівкових покриттів. Апаратура.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Технологія покриття напресуванням. Машини подвійного і потрійного пресування.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  Допоміжні речовини у виробництві желатинових капсул. Способи отримання.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>Автоматизовані лінії, преси. Заповнення капсул лікарськими речовинами.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 Машини шнекові, роторні, поршневі. Асортимент лікарських засобів в желатинових капсулах заводського виробництва, точність дозування.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 Мікрокапсулювання лікарських препаратів. Способи отримання мікрокапсул.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 Пластирі. Гірчичники.  Технологія отримання. Обладнання.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  Ректальні лікарські форми. Характеристика супозиторіїв. Обладнання для виробництва та упакування супозиторіїв.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  Аерозолі. Характеристика. Аерозолі інгаляційні. Склад та принцип роботи аерозольного балону.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 Способи наповнення аерозольних. Оцінка якості. Точність дозування вмісту. Якісний та кількісний склад.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 Ліки заводського виробництва, що готуються в умовах асептики. Лікарські форми для ін'єкцій: розчини в ампулах, суспензії, емульсії, порошки, таблетки.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Вимоги до лікарських форм для ін'єкцій. Джерела забруднення ін'єкційних розчинів.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>Класи чистоти приміщень. Вимоги до персоналу, спецодягу, обладнання.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 Отримання води для ін'єкцій у заводських умовах. Дистиляційні прилади.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 Скло. Отримання, технічні вимоги до нього. Класи скла. Дослідження хімічної та термічної стійкості ампул.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>Підготовка склодроту: калібрування, способи миття. Виготовлення ампул на напівавтоматах.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Підготовка ампул до наповнення. Апарат для відкриття капілярів. Відпал ампул.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Вакуумне, шприцеве та пароконденсаційне миття ампул. Використання ультразвуку для миття ампул. Висушування і стерилізація.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Виготовлення ін'єкційних розчинів у заводських умовах. Дегідратація. Додаткове очищення в процесі отримання розчинів.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 Фільтруючі матеріали. Фільтруючі пристрої. Металеві, керамічні, скляні, фторопластові мембранні фільтри. Стерилізація фільтруванням.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 Наповнення ампул. Апарати для наповнення. Запаювання ампул. Запаювання в потоці інертних газів. Контроль якості запаювання.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>Методи стерилізації розчинів в ампулах. Контроль режиму стерилізації. Перевірка герметичності.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 Оцінка якості готової продукції. Поняття про стерильну серію.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 Очні лікарські форми. Особливості технології очних лікарських форм заводського виробництва.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 Біотехнологія у виготовленні лікарських засобів. Науково-технічні передумови формування біотехнології.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Основи біотехнологічного виробництва. Виготовлення лікарських засобів на основі мікробіологічного синтезу.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Виділення продуктів біосинтезу. Очищення продуктів біосинтезу.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Генна інженерія. Способи отримання препаратів на основі генної інженерії.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 Упакування готових лікарських форм. Пакувальні матеріали. Тара. Фасування лікарських форм.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 Сучасний асортимент тари і пакувального матеріалу, який використовується у фармацевтичній промисловості.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Апарати для миття тари. Фасування в умовах збільшення підприємств.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>Дозуючі пристрої для порошків, рідин, мазей, фасування таблеток, драже, капсул та інші. Перспективи упаковки ГЛЗ.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 Тверді дисперсні системи. Носії лікарських речовин першого покоління. Мікрокапсули. Мікросфери.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Способи промислового виробництва суспензій, емульсій, мазей. Змішування фаз.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>Розмолювання в рідкому середовищі. Подрібнення з використанням ультразвуку. Обладнання.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 Конструктивні особливості та принцип роботи реактора-змішувача, машини типу МКЛ, змішувачі "Юпітрон", жернові млини, трьох-валкова мазетерка. </w:t>
      </w:r>
    </w:p>
    <w:p w:rsidR="00EA44A2" w:rsidRDefault="00EA44A2" w:rsidP="00EA44A2">
      <w:pPr>
        <w:numPr>
          <w:ilvl w:val="0"/>
          <w:numId w:val="8"/>
        </w:numPr>
        <w:tabs>
          <w:tab w:val="left" w:pos="720"/>
        </w:tabs>
        <w:suppressAutoHyphens/>
        <w:overflowPunct/>
        <w:spacing w:line="276" w:lineRule="auto"/>
        <w:ind w:left="720" w:hanging="36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Тубонаповнюючі дозуючі машини. Основні фактори, що впливають на реологічні властивості мазей. </w:t>
      </w:r>
    </w:p>
    <w:p w:rsidR="00EA44A2" w:rsidRDefault="00EA44A2" w:rsidP="00EA44A2">
      <w:pPr>
        <w:pStyle w:val="2"/>
        <w:tabs>
          <w:tab w:val="left" w:pos="11624"/>
        </w:tabs>
        <w:spacing w:after="0" w:line="240" w:lineRule="auto"/>
        <w:jc w:val="center"/>
        <w:rPr>
          <w:b/>
          <w:sz w:val="28"/>
          <w:szCs w:val="28"/>
          <w:lang w:val="uk-UA"/>
        </w:rPr>
      </w:pPr>
    </w:p>
    <w:p w:rsidR="00EA44A2" w:rsidRDefault="00EA44A2" w:rsidP="00EA44A2">
      <w:pPr>
        <w:pStyle w:val="21"/>
        <w:jc w:val="center"/>
        <w:rPr>
          <w:b/>
          <w:i/>
          <w:szCs w:val="28"/>
          <w:shd w:val="clear" w:color="auto" w:fill="3DEB3D"/>
          <w:lang w:val="ru-RU"/>
        </w:rPr>
      </w:pPr>
      <w:r>
        <w:rPr>
          <w:b/>
          <w:bCs/>
          <w:szCs w:val="28"/>
        </w:rPr>
        <w:lastRenderedPageBreak/>
        <w:t xml:space="preserve">Рекомендована література. </w:t>
      </w:r>
    </w:p>
    <w:p w:rsidR="00EA44A2" w:rsidRDefault="00EA44A2" w:rsidP="00EA44A2">
      <w:pPr>
        <w:tabs>
          <w:tab w:val="left" w:pos="709"/>
          <w:tab w:val="left" w:pos="2520"/>
        </w:tabs>
        <w:jc w:val="both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Основна (базова):</w:t>
      </w:r>
    </w:p>
    <w:p w:rsidR="00EA44A2" w:rsidRDefault="00EA44A2" w:rsidP="00EA44A2">
      <w:pPr>
        <w:numPr>
          <w:ilvl w:val="0"/>
          <w:numId w:val="9"/>
        </w:numPr>
        <w:tabs>
          <w:tab w:val="left" w:pos="851"/>
          <w:tab w:val="left" w:pos="2520"/>
        </w:tabs>
        <w:overflowPunct/>
        <w:jc w:val="both"/>
        <w:textAlignment w:val="auto"/>
        <w:rPr>
          <w:cap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Практикум з промислової технології лікарських засобів: навч. посіб. для студ. вищ. навч. закладів зі спеціальності «Фармація» / О.А. Рубан, Д.І. Дмитрієвський, </w:t>
      </w:r>
      <w:r>
        <w:rPr>
          <w:sz w:val="28"/>
          <w:szCs w:val="28"/>
          <w:lang w:val="uk-UA"/>
        </w:rPr>
        <w:br/>
        <w:t>Л.М. Хохлова [та ін.]; за ред. О.А. Рубан. – Х.: НФаУ; Оригінал, 2015. – 320 с.</w:t>
      </w:r>
    </w:p>
    <w:p w:rsidR="00EA44A2" w:rsidRDefault="00EA44A2" w:rsidP="00EA44A2">
      <w:pPr>
        <w:numPr>
          <w:ilvl w:val="0"/>
          <w:numId w:val="9"/>
        </w:numPr>
        <w:tabs>
          <w:tab w:val="left" w:pos="851"/>
          <w:tab w:val="left" w:pos="2520"/>
        </w:tabs>
        <w:overflowPunct/>
        <w:jc w:val="both"/>
        <w:textAlignment w:val="auto"/>
        <w:rPr>
          <w:caps/>
          <w:sz w:val="28"/>
          <w:szCs w:val="28"/>
          <w:lang w:val="uk-UA"/>
        </w:rPr>
      </w:pPr>
      <w:r>
        <w:rPr>
          <w:caps/>
          <w:sz w:val="28"/>
          <w:szCs w:val="28"/>
          <w:highlight w:val="white"/>
          <w:lang w:val="uk-UA"/>
        </w:rPr>
        <w:t>П</w:t>
      </w:r>
      <w:r>
        <w:rPr>
          <w:sz w:val="28"/>
          <w:szCs w:val="28"/>
          <w:highlight w:val="white"/>
          <w:lang w:val="uk-UA"/>
        </w:rPr>
        <w:t>ромислова технологія лікарських засобів</w:t>
      </w:r>
      <w:r>
        <w:rPr>
          <w:caps/>
          <w:sz w:val="28"/>
          <w:szCs w:val="28"/>
          <w:highlight w:val="white"/>
          <w:lang w:val="uk-UA"/>
        </w:rPr>
        <w:t xml:space="preserve">: </w:t>
      </w:r>
      <w:r>
        <w:rPr>
          <w:sz w:val="28"/>
          <w:szCs w:val="28"/>
          <w:highlight w:val="white"/>
          <w:lang w:val="uk-UA"/>
        </w:rPr>
        <w:t xml:space="preserve">навч. посіб. для самостійної роботи студентів </w:t>
      </w:r>
      <w:r>
        <w:rPr>
          <w:caps/>
          <w:sz w:val="28"/>
          <w:szCs w:val="28"/>
          <w:highlight w:val="white"/>
          <w:lang w:val="uk-UA"/>
        </w:rPr>
        <w:t>/ О.А. Р</w:t>
      </w:r>
      <w:r>
        <w:rPr>
          <w:sz w:val="28"/>
          <w:szCs w:val="28"/>
          <w:highlight w:val="white"/>
          <w:lang w:val="uk-UA"/>
        </w:rPr>
        <w:t>убан</w:t>
      </w:r>
      <w:r>
        <w:rPr>
          <w:caps/>
          <w:sz w:val="28"/>
          <w:szCs w:val="28"/>
          <w:highlight w:val="white"/>
          <w:lang w:val="uk-UA"/>
        </w:rPr>
        <w:t>, В.Д. Р</w:t>
      </w:r>
      <w:r>
        <w:rPr>
          <w:sz w:val="28"/>
          <w:szCs w:val="28"/>
          <w:highlight w:val="white"/>
          <w:lang w:val="uk-UA"/>
        </w:rPr>
        <w:t>ибачук</w:t>
      </w:r>
      <w:r>
        <w:rPr>
          <w:caps/>
          <w:sz w:val="28"/>
          <w:szCs w:val="28"/>
          <w:highlight w:val="white"/>
          <w:lang w:val="uk-UA"/>
        </w:rPr>
        <w:t>, Л.М. Х</w:t>
      </w:r>
      <w:r>
        <w:rPr>
          <w:sz w:val="28"/>
          <w:szCs w:val="28"/>
          <w:highlight w:val="white"/>
          <w:lang w:val="uk-UA"/>
        </w:rPr>
        <w:t>охлова</w:t>
      </w:r>
      <w:r>
        <w:rPr>
          <w:caps/>
          <w:sz w:val="28"/>
          <w:szCs w:val="28"/>
          <w:highlight w:val="white"/>
          <w:lang w:val="uk-UA"/>
        </w:rPr>
        <w:t xml:space="preserve"> </w:t>
      </w:r>
      <w:r>
        <w:rPr>
          <w:sz w:val="28"/>
          <w:szCs w:val="28"/>
          <w:highlight w:val="white"/>
          <w:lang w:val="uk-UA"/>
        </w:rPr>
        <w:t xml:space="preserve">та ін. </w:t>
      </w:r>
      <w:r>
        <w:rPr>
          <w:caps/>
          <w:sz w:val="28"/>
          <w:szCs w:val="28"/>
          <w:highlight w:val="white"/>
          <w:lang w:val="uk-UA"/>
        </w:rPr>
        <w:t>– Х.: НФ</w:t>
      </w:r>
      <w:r>
        <w:rPr>
          <w:sz w:val="28"/>
          <w:szCs w:val="28"/>
          <w:highlight w:val="white"/>
          <w:lang w:val="uk-UA"/>
        </w:rPr>
        <w:t>а</w:t>
      </w:r>
      <w:r>
        <w:rPr>
          <w:caps/>
          <w:sz w:val="28"/>
          <w:szCs w:val="28"/>
          <w:highlight w:val="white"/>
          <w:lang w:val="uk-UA"/>
        </w:rPr>
        <w:t xml:space="preserve">У, 2015. – 120 </w:t>
      </w:r>
      <w:r>
        <w:rPr>
          <w:sz w:val="28"/>
          <w:szCs w:val="28"/>
          <w:highlight w:val="white"/>
          <w:lang w:val="uk-UA"/>
        </w:rPr>
        <w:t>с.</w:t>
      </w:r>
    </w:p>
    <w:p w:rsidR="00EA44A2" w:rsidRDefault="00EA44A2" w:rsidP="00EA44A2">
      <w:pPr>
        <w:numPr>
          <w:ilvl w:val="0"/>
          <w:numId w:val="9"/>
        </w:numPr>
        <w:tabs>
          <w:tab w:val="left" w:pos="851"/>
          <w:tab w:val="left" w:pos="2520"/>
        </w:tabs>
        <w:overflowPunct/>
        <w:jc w:val="both"/>
        <w:textAlignment w:val="auto"/>
        <w:rPr>
          <w:sz w:val="28"/>
          <w:szCs w:val="28"/>
          <w:highlight w:val="white"/>
          <w:lang w:val="uk-UA"/>
        </w:rPr>
      </w:pPr>
      <w:r>
        <w:rPr>
          <w:sz w:val="28"/>
          <w:szCs w:val="28"/>
          <w:lang w:val="uk-UA"/>
        </w:rPr>
        <w:t>Навчальний посібник з підготовки до підсумкового модульного контролю та Державної атестації з Промислової технології лікарських засобів для студентів денного та заочного відділення спеціальності «Фармація» / Під ред. О.А. Рубан. – Х.: НФаУ, 2016</w:t>
      </w:r>
      <w:r>
        <w:rPr>
          <w:sz w:val="28"/>
          <w:szCs w:val="28"/>
          <w:highlight w:val="white"/>
          <w:lang w:val="uk-UA"/>
        </w:rPr>
        <w:t>. – 80 с.</w:t>
      </w:r>
    </w:p>
    <w:p w:rsidR="00EA44A2" w:rsidRDefault="00EA44A2" w:rsidP="00EA44A2">
      <w:pPr>
        <w:numPr>
          <w:ilvl w:val="0"/>
          <w:numId w:val="9"/>
        </w:numPr>
        <w:tabs>
          <w:tab w:val="left" w:pos="851"/>
          <w:tab w:val="left" w:pos="2520"/>
        </w:tabs>
        <w:overflowPunct/>
        <w:jc w:val="both"/>
        <w:textAlignment w:val="auto"/>
        <w:rPr>
          <w:sz w:val="28"/>
          <w:szCs w:val="28"/>
          <w:highlight w:val="white"/>
          <w:lang w:val="uk-UA"/>
        </w:rPr>
      </w:pPr>
      <w:r>
        <w:rPr>
          <w:sz w:val="28"/>
          <w:szCs w:val="28"/>
          <w:lang w:val="uk-UA"/>
        </w:rPr>
        <w:t xml:space="preserve">Навчальний посібник для самостійної підготовки студентів фармацевтичного факультету до ліцензійного інтегрованого іспиту «Крок 2. Фармація» / О.А. Рубан, В.Д. Рибачук, Л.М. Хохлова, Д.С. Пуляєв – </w:t>
      </w:r>
      <w:r>
        <w:rPr>
          <w:caps/>
          <w:sz w:val="28"/>
          <w:szCs w:val="28"/>
          <w:highlight w:val="white"/>
          <w:lang w:val="uk-UA"/>
        </w:rPr>
        <w:t>Х.: НФ</w:t>
      </w:r>
      <w:r>
        <w:rPr>
          <w:sz w:val="28"/>
          <w:szCs w:val="28"/>
          <w:lang w:val="uk-UA"/>
        </w:rPr>
        <w:t>а</w:t>
      </w:r>
      <w:r>
        <w:rPr>
          <w:caps/>
          <w:sz w:val="28"/>
          <w:szCs w:val="28"/>
          <w:highlight w:val="white"/>
          <w:lang w:val="uk-UA"/>
        </w:rPr>
        <w:t xml:space="preserve">У, 2016. – 63 </w:t>
      </w:r>
      <w:r>
        <w:rPr>
          <w:sz w:val="28"/>
          <w:szCs w:val="28"/>
          <w:highlight w:val="white"/>
          <w:lang w:val="uk-UA"/>
        </w:rPr>
        <w:t>с.</w:t>
      </w:r>
    </w:p>
    <w:p w:rsidR="00EA44A2" w:rsidRDefault="00EA44A2" w:rsidP="00EA44A2">
      <w:pPr>
        <w:numPr>
          <w:ilvl w:val="0"/>
          <w:numId w:val="9"/>
        </w:numPr>
        <w:tabs>
          <w:tab w:val="left" w:pos="851"/>
          <w:tab w:val="left" w:pos="2520"/>
        </w:tabs>
        <w:overflowPunct/>
        <w:jc w:val="both"/>
        <w:textAlignment w:val="auto"/>
        <w:rPr>
          <w:sz w:val="28"/>
          <w:szCs w:val="28"/>
          <w:highlight w:val="white"/>
          <w:lang w:val="uk-UA"/>
        </w:rPr>
      </w:pPr>
      <w:r>
        <w:rPr>
          <w:sz w:val="28"/>
          <w:szCs w:val="28"/>
          <w:lang w:val="uk-UA"/>
        </w:rPr>
        <w:t xml:space="preserve">Допоміжні речовини у виробництві ліків: навч. посіб. для студ. вищ. фармац. навч. закл. </w:t>
      </w:r>
      <w:r>
        <w:rPr>
          <w:caps/>
          <w:sz w:val="28"/>
          <w:szCs w:val="28"/>
          <w:lang w:val="uk-UA"/>
        </w:rPr>
        <w:t>/ О.А. Р</w:t>
      </w:r>
      <w:r>
        <w:rPr>
          <w:sz w:val="28"/>
          <w:szCs w:val="28"/>
          <w:lang w:val="uk-UA"/>
        </w:rPr>
        <w:t>убан</w:t>
      </w:r>
      <w:r>
        <w:rPr>
          <w:caps/>
          <w:sz w:val="28"/>
          <w:szCs w:val="28"/>
          <w:lang w:val="uk-UA"/>
        </w:rPr>
        <w:t xml:space="preserve">, </w:t>
      </w:r>
      <w:r>
        <w:rPr>
          <w:sz w:val="28"/>
          <w:szCs w:val="28"/>
          <w:lang w:val="uk-UA"/>
        </w:rPr>
        <w:t>І.М. Перцев, С.А. Куценко, Ю.С. Маслій; за ред. І.М. Перцева. – Х.: Золоті сторінки, 2016. – 720 с.</w:t>
      </w:r>
    </w:p>
    <w:p w:rsidR="00EA44A2" w:rsidRDefault="00EA44A2" w:rsidP="00EA44A2">
      <w:pPr>
        <w:numPr>
          <w:ilvl w:val="0"/>
          <w:numId w:val="9"/>
        </w:numPr>
        <w:tabs>
          <w:tab w:val="left" w:pos="851"/>
          <w:tab w:val="left" w:pos="1276"/>
          <w:tab w:val="left" w:pos="2520"/>
        </w:tabs>
        <w:overflowPunct/>
        <w:jc w:val="both"/>
        <w:textAlignment w:val="auto"/>
        <w:rPr>
          <w:sz w:val="28"/>
          <w:szCs w:val="28"/>
          <w:highlight w:val="white"/>
          <w:lang w:val="uk-UA"/>
        </w:rPr>
      </w:pPr>
      <w:r>
        <w:rPr>
          <w:sz w:val="28"/>
          <w:szCs w:val="28"/>
          <w:lang w:val="uk-UA"/>
        </w:rPr>
        <w:t>Технологія ліків промислового виробництва: підруч. для студентів вищ. навч. закл.: в 2-х ч. / В.І. Чуєшов, Є.В. Гладух, І.В. Сайко та ін. – 2-е вид., перероб. і допоп. – Х.: НФаУ: Оригінал, 2012. – Ч. 1. – 694 с.</w:t>
      </w:r>
    </w:p>
    <w:p w:rsidR="00EA44A2" w:rsidRDefault="00EA44A2" w:rsidP="00EA44A2">
      <w:pPr>
        <w:numPr>
          <w:ilvl w:val="0"/>
          <w:numId w:val="9"/>
        </w:numPr>
        <w:tabs>
          <w:tab w:val="left" w:pos="851"/>
          <w:tab w:val="left" w:pos="1276"/>
          <w:tab w:val="left" w:pos="2520"/>
        </w:tabs>
        <w:overflowPunct/>
        <w:jc w:val="both"/>
        <w:textAlignment w:val="auto"/>
        <w:rPr>
          <w:sz w:val="28"/>
          <w:szCs w:val="28"/>
          <w:highlight w:val="white"/>
          <w:lang w:val="uk-UA"/>
        </w:rPr>
      </w:pPr>
      <w:r>
        <w:rPr>
          <w:sz w:val="28"/>
          <w:szCs w:val="28"/>
          <w:lang w:val="uk-UA"/>
        </w:rPr>
        <w:t>Технологія ліків промислового виробництва: підруч. для студентів вищ. навч. закл.: в 2-х ч. / В.І. Чуєшов, Є.В. Гладух, І.В. Сайко та ін. – 2-е вид., перероб. і допоп. – Х.: НФаУ: Оригінал, 2013. – Ч. 2. – 638 с.</w:t>
      </w:r>
    </w:p>
    <w:p w:rsidR="00EA44A2" w:rsidRDefault="00EA44A2" w:rsidP="00EA44A2">
      <w:pPr>
        <w:numPr>
          <w:ilvl w:val="0"/>
          <w:numId w:val="9"/>
        </w:numPr>
        <w:tabs>
          <w:tab w:val="left" w:pos="851"/>
          <w:tab w:val="left" w:pos="1276"/>
          <w:tab w:val="left" w:pos="2520"/>
        </w:tabs>
        <w:overflowPunct/>
        <w:jc w:val="both"/>
        <w:textAlignment w:val="auto"/>
        <w:rPr>
          <w:sz w:val="28"/>
          <w:szCs w:val="28"/>
          <w:highlight w:val="white"/>
          <w:lang w:val="uk-UA"/>
        </w:rPr>
      </w:pPr>
      <w:r>
        <w:rPr>
          <w:sz w:val="28"/>
          <w:szCs w:val="28"/>
          <w:highlight w:val="white"/>
          <w:lang w:val="uk-UA"/>
        </w:rPr>
        <w:t>Сучасні фармацевтичні технології: навч. посіб. до лабораторних занять магістрантів денної, вечірньої та заочної форми навчання спеціальності 8.110201 «Фармація» / під ред. О.А. Рубан. – Х.: Вид-во НФаУ, 2016. – 256 с.</w:t>
      </w:r>
    </w:p>
    <w:p w:rsidR="00EA44A2" w:rsidRDefault="00EA44A2" w:rsidP="00EA44A2">
      <w:pPr>
        <w:tabs>
          <w:tab w:val="left" w:pos="709"/>
          <w:tab w:val="left" w:pos="2520"/>
        </w:tabs>
        <w:rPr>
          <w:sz w:val="28"/>
          <w:szCs w:val="28"/>
          <w:lang w:val="uk-UA"/>
        </w:rPr>
      </w:pPr>
      <w:r>
        <w:rPr>
          <w:b/>
          <w:bCs/>
          <w:spacing w:val="-6"/>
          <w:sz w:val="28"/>
          <w:szCs w:val="28"/>
          <w:lang w:val="uk-UA"/>
        </w:rPr>
        <w:t>Допоміжна</w:t>
      </w:r>
      <w:r>
        <w:rPr>
          <w:sz w:val="28"/>
          <w:szCs w:val="28"/>
          <w:lang w:val="uk-UA"/>
        </w:rPr>
        <w:t>:</w:t>
      </w:r>
    </w:p>
    <w:p w:rsidR="00EA44A2" w:rsidRDefault="00EA44A2" w:rsidP="00EA44A2">
      <w:pPr>
        <w:numPr>
          <w:ilvl w:val="0"/>
          <w:numId w:val="9"/>
        </w:numPr>
        <w:tabs>
          <w:tab w:val="left" w:pos="426"/>
          <w:tab w:val="left" w:pos="928"/>
          <w:tab w:val="left" w:pos="993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Компендиум 2016 – лекарственные препараты / Под ред. В.Н. Коваленко. – К.: МОРИОН, 2016. – 2448 с.</w:t>
      </w:r>
    </w:p>
    <w:p w:rsidR="00EA44A2" w:rsidRDefault="00EA44A2" w:rsidP="00EA44A2">
      <w:pPr>
        <w:numPr>
          <w:ilvl w:val="0"/>
          <w:numId w:val="9"/>
        </w:numPr>
        <w:tabs>
          <w:tab w:val="left" w:pos="426"/>
          <w:tab w:val="left" w:pos="928"/>
          <w:tab w:val="left" w:pos="993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Математичне планування експерименту при проведенні наукових досліджень в фармації / Т.А. Грошовий, В.П. Марценюк, Л.І. Кучеренко та ін. – Тернопіль: ТДМУ Укрмедкнига, 2008. – 367 с.</w:t>
      </w:r>
    </w:p>
    <w:p w:rsidR="00EA44A2" w:rsidRDefault="00EA44A2" w:rsidP="00EA44A2">
      <w:pPr>
        <w:numPr>
          <w:ilvl w:val="0"/>
          <w:numId w:val="9"/>
        </w:numPr>
        <w:tabs>
          <w:tab w:val="left" w:pos="1276"/>
          <w:tab w:val="left" w:pos="2520"/>
        </w:tabs>
        <w:overflowPunct/>
        <w:jc w:val="both"/>
        <w:textAlignment w:val="auto"/>
        <w:rPr>
          <w:sz w:val="28"/>
          <w:szCs w:val="28"/>
          <w:highlight w:val="white"/>
          <w:lang w:val="uk-UA"/>
        </w:rPr>
      </w:pPr>
      <w:r>
        <w:rPr>
          <w:sz w:val="28"/>
          <w:szCs w:val="28"/>
          <w:lang w:val="uk-UA"/>
        </w:rPr>
        <w:t>Машковский М.Д. Лекарственные средства / М.Д. Машковский. – 16-е изд. – М.: Новая Волна, 2012. – 1218 с.</w:t>
      </w:r>
    </w:p>
    <w:p w:rsidR="00EA44A2" w:rsidRDefault="00EA44A2" w:rsidP="00EA44A2">
      <w:pPr>
        <w:numPr>
          <w:ilvl w:val="0"/>
          <w:numId w:val="9"/>
        </w:numPr>
        <w:tabs>
          <w:tab w:val="left" w:pos="851"/>
          <w:tab w:val="left" w:pos="2520"/>
        </w:tabs>
        <w:overflowPunct/>
        <w:jc w:val="both"/>
        <w:textAlignment w:val="auto"/>
        <w:rPr>
          <w:sz w:val="28"/>
          <w:szCs w:val="28"/>
          <w:highlight w:val="white"/>
          <w:lang w:val="uk-UA"/>
        </w:rPr>
      </w:pPr>
      <w:r>
        <w:rPr>
          <w:sz w:val="28"/>
          <w:szCs w:val="28"/>
          <w:lang w:val="uk-UA"/>
        </w:rPr>
        <w:t>Нормативно</w:t>
      </w:r>
      <w:r>
        <w:rPr>
          <w:sz w:val="28"/>
          <w:szCs w:val="28"/>
          <w:highlight w:val="white"/>
          <w:lang w:val="uk-UA"/>
        </w:rPr>
        <w:t xml:space="preserve">-технічна документація та валідація виробництва. Матеріальний баланс: Навчально-метод. реком. для аудит. та позааудит. роботи студ. спец. «Фармація» денної та заочної форми навчання / </w:t>
      </w:r>
      <w:r>
        <w:rPr>
          <w:sz w:val="28"/>
          <w:szCs w:val="28"/>
          <w:lang w:val="uk-UA"/>
        </w:rPr>
        <w:t>Д.І. Дмитрієвський, Г.Д. Сліпченко, І.М. Грубник, Д.В. Рибачук</w:t>
      </w:r>
      <w:r>
        <w:rPr>
          <w:sz w:val="28"/>
          <w:szCs w:val="28"/>
          <w:highlight w:val="white"/>
          <w:lang w:val="uk-UA"/>
        </w:rPr>
        <w:t xml:space="preserve">. – Х.: Вид-во НФаУ, 2008. – 45 с. </w:t>
      </w:r>
    </w:p>
    <w:p w:rsidR="00EA44A2" w:rsidRDefault="00EA44A2" w:rsidP="00EA44A2">
      <w:pPr>
        <w:numPr>
          <w:ilvl w:val="0"/>
          <w:numId w:val="9"/>
        </w:numPr>
        <w:tabs>
          <w:tab w:val="left" w:pos="1276"/>
          <w:tab w:val="left" w:pos="2520"/>
        </w:tabs>
        <w:overflowPunct/>
        <w:jc w:val="both"/>
        <w:textAlignment w:val="auto"/>
        <w:rPr>
          <w:sz w:val="28"/>
          <w:szCs w:val="28"/>
          <w:highlight w:val="white"/>
          <w:lang w:val="uk-UA"/>
        </w:rPr>
      </w:pPr>
      <w:r>
        <w:rPr>
          <w:sz w:val="28"/>
          <w:szCs w:val="28"/>
          <w:lang w:val="uk-UA"/>
        </w:rPr>
        <w:t>Технологія лікарських препаратів промислового виробництва: навч. посіб./ за ред. проф. Д.І. Дмитрієвського. – Вінниця: Нова книга, 2008. – 280 с.</w:t>
      </w:r>
    </w:p>
    <w:p w:rsidR="00EA44A2" w:rsidRDefault="00EA44A2" w:rsidP="00EA44A2">
      <w:pPr>
        <w:numPr>
          <w:ilvl w:val="0"/>
          <w:numId w:val="9"/>
        </w:numPr>
        <w:tabs>
          <w:tab w:val="left" w:pos="851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Технологія ліків. Навчально-методичний посібник: Навч. посіб. для студ. вищ. навч. зал. / О.І. Тихонов, П.А. Логвин, С..О. Тихонова, О.В. Базулін, Т.Г. Ярних, </w:t>
      </w:r>
      <w:r>
        <w:rPr>
          <w:sz w:val="28"/>
          <w:szCs w:val="28"/>
          <w:lang w:val="uk-UA"/>
        </w:rPr>
        <w:br/>
        <w:t xml:space="preserve">О.С. Шпичак, О.М. Котенко; за ред. О.І. Тихонова,  –Х.: Оригінал, 2009. - 432 с. </w:t>
      </w:r>
    </w:p>
    <w:p w:rsidR="00EA44A2" w:rsidRDefault="00EA44A2" w:rsidP="00EA44A2">
      <w:pPr>
        <w:numPr>
          <w:ilvl w:val="0"/>
          <w:numId w:val="9"/>
        </w:numPr>
        <w:tabs>
          <w:tab w:val="left" w:pos="851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>
        <w:rPr>
          <w:caps/>
          <w:sz w:val="28"/>
          <w:szCs w:val="28"/>
          <w:lang w:val="uk-UA"/>
        </w:rPr>
        <w:lastRenderedPageBreak/>
        <w:t>С</w:t>
      </w:r>
      <w:r>
        <w:rPr>
          <w:sz w:val="28"/>
          <w:szCs w:val="28"/>
          <w:lang w:val="uk-UA"/>
        </w:rPr>
        <w:t>пиртометрія. Рекуперация и ректификация этанола: Учеб. пособ. /</w:t>
      </w:r>
      <w:r>
        <w:rPr>
          <w:sz w:val="28"/>
          <w:szCs w:val="28"/>
          <w:lang w:val="uk-UA"/>
        </w:rPr>
        <w:br/>
        <w:t xml:space="preserve">Д.И. Дмитриевский, Л.И. Богуславская, Л.Н. Хохлова и др.; Под ред. проф. </w:t>
      </w:r>
      <w:r>
        <w:rPr>
          <w:sz w:val="28"/>
          <w:szCs w:val="28"/>
          <w:lang w:val="uk-UA"/>
        </w:rPr>
        <w:br/>
        <w:t>Д.И. Дмитриевского. – Х.: Изд-во НФаУ, 2006. – 100 с.</w:t>
      </w:r>
    </w:p>
    <w:p w:rsidR="00EA44A2" w:rsidRDefault="00EA44A2" w:rsidP="00EA44A2">
      <w:pPr>
        <w:numPr>
          <w:ilvl w:val="0"/>
          <w:numId w:val="9"/>
        </w:numPr>
        <w:tabs>
          <w:tab w:val="left" w:pos="1276"/>
          <w:tab w:val="left" w:pos="2520"/>
        </w:tabs>
        <w:overflowPunct/>
        <w:jc w:val="both"/>
        <w:textAlignment w:val="auto"/>
        <w:rPr>
          <w:sz w:val="28"/>
          <w:szCs w:val="28"/>
          <w:highlight w:val="white"/>
          <w:lang w:val="uk-UA"/>
        </w:rPr>
      </w:pPr>
      <w:r>
        <w:rPr>
          <w:sz w:val="28"/>
          <w:szCs w:val="28"/>
          <w:highlight w:val="white"/>
          <w:lang w:val="uk-UA"/>
        </w:rPr>
        <w:t>Фармацевтична енциклопедія / Голова ред. ради та автор передмови В.П. Черних. – 3-тє вид., переробл. і доповн. – К.: «МОРІОН», 2016. – 1952 с.</w:t>
      </w:r>
    </w:p>
    <w:p w:rsidR="00EA44A2" w:rsidRDefault="00EA44A2" w:rsidP="00EA44A2">
      <w:pPr>
        <w:numPr>
          <w:ilvl w:val="0"/>
          <w:numId w:val="9"/>
        </w:numPr>
        <w:tabs>
          <w:tab w:val="left" w:pos="426"/>
          <w:tab w:val="left" w:pos="928"/>
          <w:tab w:val="left" w:pos="993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Encyclopedia of Pharmaceutical Technology: 3-d Ed. / ed. by J. Swarbrick. – New York; London: Informa Healthcare, 2007. – 4128 p.</w:t>
      </w:r>
    </w:p>
    <w:p w:rsidR="00EA44A2" w:rsidRDefault="00EA44A2" w:rsidP="00EA44A2">
      <w:pPr>
        <w:numPr>
          <w:ilvl w:val="0"/>
          <w:numId w:val="9"/>
        </w:numPr>
        <w:tabs>
          <w:tab w:val="left" w:pos="426"/>
          <w:tab w:val="left" w:pos="928"/>
          <w:tab w:val="left" w:pos="993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European Pharmacopoeia 8.0 [8th edition] / European Directorate for the Quality of Medicines &amp; HealthCare. – Strasbourg, 2013. – 3638 p.</w:t>
      </w:r>
    </w:p>
    <w:p w:rsidR="00EA44A2" w:rsidRDefault="00EA44A2" w:rsidP="00EA44A2">
      <w:pPr>
        <w:numPr>
          <w:ilvl w:val="0"/>
          <w:numId w:val="9"/>
        </w:numPr>
        <w:tabs>
          <w:tab w:val="left" w:pos="426"/>
          <w:tab w:val="left" w:pos="928"/>
          <w:tab w:val="left" w:pos="993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Handbook of Pharmaceutical Excipients, 6th edition / R.C. Rowe, P.J. Sheskey, </w:t>
      </w:r>
      <w:r>
        <w:rPr>
          <w:sz w:val="28"/>
          <w:szCs w:val="28"/>
          <w:lang w:val="uk-UA"/>
        </w:rPr>
        <w:br/>
        <w:t>M.E. Quinn. – Pharmaceutical Press and American Pharmacists Association, 2009. – 521 p.</w:t>
      </w:r>
    </w:p>
    <w:p w:rsidR="00EA44A2" w:rsidRDefault="00EA44A2" w:rsidP="00EA44A2">
      <w:pPr>
        <w:numPr>
          <w:ilvl w:val="0"/>
          <w:numId w:val="9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Екстемпоральні прописи для терапії дерматологічних захворювань: навч. посіб. для студентів медичних та фармацевтичних вузів / Н.П. Половко, Л.І. Вишневська, </w:t>
      </w:r>
      <w:r>
        <w:rPr>
          <w:sz w:val="28"/>
          <w:szCs w:val="28"/>
          <w:lang w:val="uk-UA"/>
        </w:rPr>
        <w:br/>
        <w:t>Т.М. Ковальова та ін. – Х.: Вид-во НФаУ, 2017. – 91 с.</w:t>
      </w:r>
    </w:p>
    <w:p w:rsidR="00EA44A2" w:rsidRDefault="00EA44A2" w:rsidP="00EA44A2">
      <w:pPr>
        <w:numPr>
          <w:ilvl w:val="0"/>
          <w:numId w:val="9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Державна Фармакопея України / Державне підприємство «Український науковий фармакопейний центр якості лікарських засобів» – 2-е вид. – Харків: Державне підприємство «Український науковий фармакопейний центр якості лікарських засобів», 2015. – Т. 1. – 1128 с.</w:t>
      </w:r>
    </w:p>
    <w:p w:rsidR="00EA44A2" w:rsidRDefault="00EA44A2" w:rsidP="00EA44A2">
      <w:pPr>
        <w:numPr>
          <w:ilvl w:val="0"/>
          <w:numId w:val="9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Державна Фармакопея України / Державне підприємство «Український науковий фармакопейний центр якості лікарських засобів» – 2-е вид. – Харків: Державне підприємство «Український науковий фармакопейний центр якості лікарських засобів», 2014. – Т. 2. – 724 с.</w:t>
      </w:r>
    </w:p>
    <w:p w:rsidR="00EA44A2" w:rsidRDefault="00EA44A2" w:rsidP="00EA44A2">
      <w:pPr>
        <w:numPr>
          <w:ilvl w:val="0"/>
          <w:numId w:val="9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Державна Фармакопея України / Державне підприємство «Український науковий фармакопейний центр якості лікарських засобів» – 2-е вид. – Харків: Державне підприємство «Український науковий фармакопейний центр якості лікарських засобів», 2015. – Т. 3. – 732 с.</w:t>
      </w:r>
    </w:p>
    <w:p w:rsidR="00EA44A2" w:rsidRDefault="00EA44A2" w:rsidP="00EA44A2">
      <w:pPr>
        <w:numPr>
          <w:ilvl w:val="0"/>
          <w:numId w:val="9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затвердження Інструкції із санітарно-протиепідемічного режиму аптечних закладів : наказ МОЗ України від 15.05.2006 р. № 275 // Офіційний вісник України від 2006. № 47.</w:t>
      </w:r>
    </w:p>
    <w:p w:rsidR="00EA44A2" w:rsidRDefault="00EA44A2" w:rsidP="00EA44A2">
      <w:pPr>
        <w:numPr>
          <w:ilvl w:val="0"/>
          <w:numId w:val="9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затвердження Інструкції по приготуванню в аптеках лікарських форм з рідким дисперсійним середовищем : наказ МОЗ України від 07.09.93 № 197 // Відомості Верховної Ради України, 1993. </w:t>
      </w:r>
    </w:p>
    <w:p w:rsidR="00EA44A2" w:rsidRDefault="00EA44A2" w:rsidP="00EA44A2">
      <w:pPr>
        <w:numPr>
          <w:ilvl w:val="0"/>
          <w:numId w:val="9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затвердження Правил виписування рецептів та вимог-замовлень на лікарські засоби і вироби медичного призначення, порядку відпуску лікарських засобів і виробів медичного призначення з аптек та їх структурних підрозділів, інструкції про порядок зберігання, обліку та знищення рецептурних бланків та вимог замовлень: наказ МОЗ України від 19.07.2005 р. № 360 // Офіційний вісник України. – 2005. – № 37. – 22 с.</w:t>
      </w:r>
    </w:p>
    <w:p w:rsidR="00EA44A2" w:rsidRDefault="00EA44A2" w:rsidP="00EA44A2">
      <w:pPr>
        <w:numPr>
          <w:ilvl w:val="0"/>
          <w:numId w:val="9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затвердження правил виробництва (виготовлення) лікарських засобів в умовах аптеки: Наказ МОЗ України від 17.10.2012 № 812 // Офіційний вісник України від 23.11.2012 № 87.</w:t>
      </w:r>
    </w:p>
    <w:p w:rsidR="00EA44A2" w:rsidRDefault="00EA44A2" w:rsidP="00EA44A2">
      <w:pPr>
        <w:numPr>
          <w:ilvl w:val="0"/>
          <w:numId w:val="9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лікарські засоби: закон України від 4.04.96 № 123/96 // Відомості Верховної Ради України. – 1996. – .№ 123.</w:t>
      </w:r>
    </w:p>
    <w:p w:rsidR="00EA44A2" w:rsidRDefault="00EA44A2" w:rsidP="00EA44A2">
      <w:pPr>
        <w:numPr>
          <w:ilvl w:val="0"/>
          <w:numId w:val="9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>Справочник экстемпоральной рецептуры / Под ред. А.И.Тихонова. – К.: МОРИОН, 1999. – 496 с.</w:t>
      </w:r>
    </w:p>
    <w:p w:rsidR="00EA44A2" w:rsidRDefault="00EA44A2" w:rsidP="00EA44A2">
      <w:pPr>
        <w:numPr>
          <w:ilvl w:val="0"/>
          <w:numId w:val="9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Стандарт МОЗ України «Вимоги до виготовлення нестерильных лікарських засобів в умовах аптек» СТ-Н МОЗУ 42 – 4.5 : 2015 // За ред. проф. О. І. Тихонова і проф. Т.Г. Ярних. – Київ, 2015. – 109 с. (Затверджено наказом МОЗ Україри № 398 от 01.07.2015 р.).</w:t>
      </w:r>
    </w:p>
    <w:p w:rsidR="00EA44A2" w:rsidRDefault="00EA44A2" w:rsidP="00EA44A2">
      <w:pPr>
        <w:numPr>
          <w:ilvl w:val="0"/>
          <w:numId w:val="9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Стандарт МОЗ України «Вимоги до виготовлення стерильных і асептичних лікарських засобів в умовах аптек» СТ-Н МОЗУ 42 – 4.6 : 2015 // За ред. проф. О.І. Тихонова і проф. Т.Г. Ярних. – Київ, 2015. – 76 с. (Затверджено наказом МОЗ України № 398 от 01.07.2015 р.).</w:t>
      </w:r>
    </w:p>
    <w:p w:rsidR="00EA44A2" w:rsidRDefault="00EA44A2" w:rsidP="00EA44A2">
      <w:pPr>
        <w:numPr>
          <w:ilvl w:val="0"/>
          <w:numId w:val="9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Технологія виготовлення екстемпоральних лікарських апіпрепаратів і їх застосування в фармації, медицині та косметології: методичні рекомендації /</w:t>
      </w:r>
      <w:r>
        <w:rPr>
          <w:sz w:val="28"/>
          <w:szCs w:val="28"/>
          <w:lang w:val="uk-UA"/>
        </w:rPr>
        <w:br/>
        <w:t xml:space="preserve">О.І. Тихонов, Т.Г. Ярних, С.О. Тихонова, О.Г. Башура, О.С. Шпичак, </w:t>
      </w:r>
      <w:r>
        <w:rPr>
          <w:sz w:val="28"/>
          <w:szCs w:val="28"/>
          <w:lang w:val="uk-UA"/>
        </w:rPr>
        <w:br/>
        <w:t xml:space="preserve">Л.О. Бондаренко, П.С. Сирота, Б.Т. Кудрик, Р.І. Скрипник-Тихонов, Н.С. Богдан, </w:t>
      </w:r>
      <w:r>
        <w:rPr>
          <w:sz w:val="28"/>
          <w:szCs w:val="28"/>
          <w:lang w:val="uk-UA"/>
        </w:rPr>
        <w:br/>
        <w:t xml:space="preserve">С.Г. Бобро, Л.В. Каношевич, О.Є. Богуцька; за ред. О.І. Тихонова. – Х. : Изд-во НФаУ, 2016. – 75 с. </w:t>
      </w:r>
    </w:p>
    <w:p w:rsidR="00EA44A2" w:rsidRDefault="00EA44A2" w:rsidP="00EA44A2">
      <w:pPr>
        <w:numPr>
          <w:ilvl w:val="0"/>
          <w:numId w:val="9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Технологія виготовлення порошків: навч. посібник / Л.Л. Давтян, Р.С. Коритнюк, А.О. Дроздова, І.О. Власенко, З.В. Маленька, В.П. Попович, В.В. Гладишев, </w:t>
      </w:r>
      <w:r>
        <w:rPr>
          <w:sz w:val="28"/>
          <w:szCs w:val="28"/>
          <w:lang w:val="uk-UA"/>
        </w:rPr>
        <w:br/>
        <w:t xml:space="preserve">С.М. Мусоєв, Т.Ф. Оліфірова, Л.І. Вишневська, О.М. Глущенко, О.О. Хомич; за ред. Л.Л. Давтян, Р.С. Коритнюк. – К.: «Освіта України», 2016. – 141 с. </w:t>
      </w:r>
    </w:p>
    <w:p w:rsidR="00EA44A2" w:rsidRDefault="00EA44A2" w:rsidP="00EA44A2">
      <w:pPr>
        <w:numPr>
          <w:ilvl w:val="0"/>
          <w:numId w:val="9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Фармакотерапія мастопатії. Екстемпоральні прописи. Фітопрепарати та гомеопатичні лікарські засоби: методичні рекомендації / Л.І.Вишневська, </w:t>
      </w:r>
      <w:r>
        <w:rPr>
          <w:sz w:val="28"/>
          <w:szCs w:val="28"/>
          <w:lang w:val="uk-UA"/>
        </w:rPr>
        <w:br/>
        <w:t>С.С. Зуйкіна. –Харків.: Вид-во ІФНМУ-НФаУ, 2017. – 44 с.</w:t>
      </w:r>
    </w:p>
    <w:p w:rsidR="00EA44A2" w:rsidRDefault="00EA44A2" w:rsidP="00EA44A2">
      <w:pPr>
        <w:numPr>
          <w:ilvl w:val="0"/>
          <w:numId w:val="9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Ярних Т.Г. Екстемпоральна рецептура (технологія, аналіз, застосування): метод. рек. / Т.Г. Ярних, О.І. Тихонов, І.С. Грищенко та ін. – Х., 2015. –379 с</w:t>
      </w:r>
    </w:p>
    <w:p w:rsidR="00EA44A2" w:rsidRDefault="00EA44A2" w:rsidP="00EA44A2">
      <w:pPr>
        <w:numPr>
          <w:ilvl w:val="0"/>
          <w:numId w:val="9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Zujkina S.S. The pharmacotechnological studies of the phytopecies composition for the complex therapy of mastopathy / S.S. Zujkina, L.I. Vishnevska // Вісник фармації. – 2017. – № 2 (90). – С. 43-47.</w:t>
      </w:r>
    </w:p>
    <w:p w:rsidR="00EA44A2" w:rsidRDefault="00EA44A2" w:rsidP="00EA44A2">
      <w:pPr>
        <w:numPr>
          <w:ilvl w:val="0"/>
          <w:numId w:val="9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Богуцкая Е.Е. Актуальные вопросы экстемпоральной рецептуры / Е.Е. Богуцкая, Н.П. Половко // Мат. республ. наук.-практ. конф. с межд. участием «Актуальне вопросы образования, науки и производства в фармации», Ташкент, Узбекистан, 17-18 ноября 2016 року. –  С. 358-360.</w:t>
      </w:r>
    </w:p>
    <w:p w:rsidR="00EA44A2" w:rsidRDefault="00EA44A2" w:rsidP="00EA44A2">
      <w:pPr>
        <w:numPr>
          <w:ilvl w:val="0"/>
          <w:numId w:val="9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Богуцька О.Є. Основні напрямки вирішення проблеми фармацевтичних несумістностей / О.Є. Богуцька // Сучасні досягнення фармацевтичної технології та біотехнології : збірник наукових праць. – випуск 2. – Харків.: Вид-во НФаУ, 2017. – С. 29–31.</w:t>
      </w:r>
    </w:p>
    <w:p w:rsidR="00EA44A2" w:rsidRDefault="00EA44A2" w:rsidP="00EA44A2">
      <w:pPr>
        <w:numPr>
          <w:ilvl w:val="0"/>
          <w:numId w:val="9"/>
        </w:numPr>
        <w:tabs>
          <w:tab w:val="left" w:pos="42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Половко Н.П. Оцінка біофармацевтичних факторів при розробці та виробництві нових лікарських засобів / Н.П. Половко, Л.І. Вишневська, О.С. Шпичак // Сучасні досягнення фармацевтичної технології і біотехнології : збірник наукових праць, випуск 2. – X.: Вид-во НФаУ, 2017. – С. 155-160.</w:t>
      </w:r>
    </w:p>
    <w:p w:rsidR="00EA44A2" w:rsidRDefault="00EA44A2" w:rsidP="00EA44A2">
      <w:pPr>
        <w:numPr>
          <w:ilvl w:val="0"/>
          <w:numId w:val="9"/>
        </w:numPr>
        <w:tabs>
          <w:tab w:val="left" w:pos="426"/>
          <w:tab w:val="left" w:pos="993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Перспективи створення нових оригінальних препаратів на основі субстанцій рослинного походження / О.А. Рубан, С.А. Малиновська, Мурад Аль-Тавайті, </w:t>
      </w:r>
      <w:r>
        <w:rPr>
          <w:sz w:val="28"/>
          <w:szCs w:val="28"/>
          <w:lang w:val="uk-UA"/>
        </w:rPr>
        <w:br/>
        <w:t>С.І. Мазурець // Фітотерапія. – 2012. – №2. – С. 63–65.</w:t>
      </w:r>
    </w:p>
    <w:p w:rsidR="00EA44A2" w:rsidRDefault="00EA44A2" w:rsidP="00EA44A2">
      <w:pPr>
        <w:numPr>
          <w:ilvl w:val="0"/>
          <w:numId w:val="9"/>
        </w:numPr>
        <w:tabs>
          <w:tab w:val="left" w:pos="426"/>
          <w:tab w:val="left" w:pos="993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>Сучасний стан створення, виробництва і контролю якості капсул / М.Б. Чубка, Л.В. Вронська, Н.О. Зарівна та ін. // Фармацевтичний часопис. - 2012. - № 2. - С. 165-168.</w:t>
      </w:r>
    </w:p>
    <w:p w:rsidR="00EA44A2" w:rsidRDefault="00EA44A2" w:rsidP="00EA44A2">
      <w:pPr>
        <w:numPr>
          <w:ilvl w:val="0"/>
          <w:numId w:val="9"/>
        </w:numPr>
        <w:tabs>
          <w:tab w:val="left" w:pos="426"/>
          <w:tab w:val="left" w:pos="993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Хаджиева З.Д. Технологические аспекты использования вспомогательных веществ в производстве лекарственных препаратов / З.Д. Хаджиева, А.В. Кузнецов, Д.В. Бирюкова // Фундаментальные исследования. – 2012. – № 5. – С. 436−440.</w:t>
      </w:r>
    </w:p>
    <w:p w:rsidR="00EA44A2" w:rsidRDefault="00EA44A2" w:rsidP="00EA44A2">
      <w:pPr>
        <w:numPr>
          <w:ilvl w:val="0"/>
          <w:numId w:val="9"/>
        </w:numPr>
        <w:tabs>
          <w:tab w:val="left" w:pos="426"/>
          <w:tab w:val="left" w:pos="567"/>
          <w:tab w:val="left" w:pos="1276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Murachanian D. Two-Piece Hard Capsules for Pharmaceutical Formulations /</w:t>
      </w:r>
      <w:r>
        <w:rPr>
          <w:sz w:val="28"/>
          <w:szCs w:val="28"/>
          <w:lang w:val="uk-UA"/>
        </w:rPr>
        <w:br/>
        <w:t>D. Murachanian // Journal of GXP Compliance. - 2010. - Vol. 14. - P. 31-42.</w:t>
      </w:r>
    </w:p>
    <w:p w:rsidR="00EA44A2" w:rsidRDefault="00EA44A2" w:rsidP="00EA44A2">
      <w:pPr>
        <w:numPr>
          <w:ilvl w:val="0"/>
          <w:numId w:val="9"/>
        </w:numPr>
        <w:tabs>
          <w:tab w:val="left" w:pos="426"/>
          <w:tab w:val="left" w:pos="993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Patel H. New pharmaceutical excipients in solid dosage forms – A review / H. Patel, </w:t>
      </w:r>
      <w:r>
        <w:rPr>
          <w:sz w:val="28"/>
          <w:szCs w:val="28"/>
          <w:lang w:val="uk-UA"/>
        </w:rPr>
        <w:br/>
        <w:t>V. Shah, U. Upadhyay // Int. J. of Pharm. &amp; Life Sci. – 2011. – Vol. 2. – P. 1006–1019.</w:t>
      </w:r>
    </w:p>
    <w:p w:rsidR="00EA44A2" w:rsidRDefault="00EA44A2" w:rsidP="00EA44A2">
      <w:pPr>
        <w:numPr>
          <w:ilvl w:val="0"/>
          <w:numId w:val="9"/>
        </w:numPr>
        <w:tabs>
          <w:tab w:val="left" w:pos="426"/>
          <w:tab w:val="left" w:pos="993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Recent trends of treatment and medication peptic ulcerative disorder / D. Bhowmik, Chiranjib, K.K. Tripathi [et al.] // International Journal of PharmTech Research. – 2010. – Vol. 2. – P. 970–980.</w:t>
      </w:r>
    </w:p>
    <w:p w:rsidR="00EA44A2" w:rsidRDefault="00EA44A2" w:rsidP="00EA44A2">
      <w:pPr>
        <w:numPr>
          <w:ilvl w:val="0"/>
          <w:numId w:val="9"/>
        </w:numPr>
        <w:tabs>
          <w:tab w:val="left" w:pos="426"/>
          <w:tab w:val="left" w:pos="993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The effects of powder compressibility, speed of capsule filling and pre-compression on plug densification / M. </w:t>
      </w:r>
      <w:hyperlink r:id="rId5" w:history="1">
        <w:r>
          <w:rPr>
            <w:rStyle w:val="a4"/>
            <w:sz w:val="28"/>
            <w:szCs w:val="28"/>
            <w:lang w:val="uk-UA"/>
          </w:rPr>
          <w:t>Llusa</w:t>
        </w:r>
      </w:hyperlink>
      <w:r>
        <w:rPr>
          <w:sz w:val="28"/>
          <w:szCs w:val="28"/>
          <w:lang w:val="uk-UA"/>
        </w:rPr>
        <w:t xml:space="preserve">, E. </w:t>
      </w:r>
      <w:hyperlink r:id="rId6" w:history="1">
        <w:r>
          <w:rPr>
            <w:rStyle w:val="a4"/>
            <w:sz w:val="28"/>
            <w:szCs w:val="28"/>
            <w:lang w:val="uk-UA"/>
          </w:rPr>
          <w:t>Faulhammer</w:t>
        </w:r>
      </w:hyperlink>
      <w:r>
        <w:rPr>
          <w:sz w:val="28"/>
          <w:szCs w:val="28"/>
          <w:lang w:val="uk-UA"/>
        </w:rPr>
        <w:t xml:space="preserve">, S. </w:t>
      </w:r>
      <w:hyperlink r:id="rId7" w:history="1">
        <w:r>
          <w:rPr>
            <w:rStyle w:val="a4"/>
            <w:sz w:val="28"/>
            <w:szCs w:val="28"/>
            <w:lang w:val="uk-UA"/>
          </w:rPr>
          <w:t>Biserni</w:t>
        </w:r>
      </w:hyperlink>
      <w:r>
        <w:rPr>
          <w:sz w:val="28"/>
          <w:szCs w:val="28"/>
          <w:lang w:val="uk-UA"/>
        </w:rPr>
        <w:t xml:space="preserve"> [et al.] // Int. J. Pharm. – 2014. – Vol. 471. – P. 182–188.</w:t>
      </w:r>
    </w:p>
    <w:p w:rsidR="00EA44A2" w:rsidRDefault="00EA44A2" w:rsidP="00EA44A2">
      <w:pPr>
        <w:tabs>
          <w:tab w:val="left" w:pos="365"/>
          <w:tab w:val="left" w:pos="2520"/>
        </w:tabs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Інформаційні ресурси:</w:t>
      </w:r>
    </w:p>
    <w:p w:rsidR="00EA44A2" w:rsidRDefault="00884861" w:rsidP="00EA44A2">
      <w:pPr>
        <w:numPr>
          <w:ilvl w:val="0"/>
          <w:numId w:val="9"/>
        </w:numPr>
        <w:tabs>
          <w:tab w:val="left" w:pos="365"/>
          <w:tab w:val="left" w:pos="851"/>
          <w:tab w:val="left" w:pos="2520"/>
        </w:tabs>
        <w:overflowPunct/>
        <w:textAlignment w:val="auto"/>
        <w:rPr>
          <w:sz w:val="28"/>
          <w:szCs w:val="28"/>
          <w:lang w:val="uk-UA"/>
        </w:rPr>
      </w:pPr>
      <w:hyperlink r:id="rId8" w:history="1">
        <w:r w:rsidR="00EA44A2">
          <w:rPr>
            <w:rStyle w:val="a4"/>
            <w:sz w:val="28"/>
            <w:szCs w:val="28"/>
            <w:lang w:val="uk-UA"/>
          </w:rPr>
          <w:t>www.moz.gov.ua</w:t>
        </w:r>
      </w:hyperlink>
      <w:r w:rsidR="00EA44A2">
        <w:rPr>
          <w:sz w:val="28"/>
          <w:szCs w:val="28"/>
          <w:lang w:val="uk-UA"/>
        </w:rPr>
        <w:t xml:space="preserve"> – офіційний сайт Міністерства охорони здоров’я України</w:t>
      </w:r>
    </w:p>
    <w:p w:rsidR="00EA44A2" w:rsidRDefault="00884861" w:rsidP="00EA44A2">
      <w:pPr>
        <w:numPr>
          <w:ilvl w:val="0"/>
          <w:numId w:val="9"/>
        </w:numPr>
        <w:tabs>
          <w:tab w:val="left" w:pos="851"/>
          <w:tab w:val="left" w:pos="2520"/>
        </w:tabs>
        <w:overflowPunct/>
        <w:textAlignment w:val="auto"/>
        <w:rPr>
          <w:sz w:val="28"/>
          <w:szCs w:val="28"/>
          <w:lang w:val="uk-UA"/>
        </w:rPr>
      </w:pPr>
      <w:hyperlink r:id="rId9" w:history="1">
        <w:r w:rsidR="00EA44A2">
          <w:rPr>
            <w:rStyle w:val="a4"/>
            <w:sz w:val="28"/>
            <w:szCs w:val="28"/>
            <w:lang w:val="uk-UA"/>
          </w:rPr>
          <w:t>fp.com.ua</w:t>
        </w:r>
      </w:hyperlink>
      <w:r w:rsidR="00EA44A2">
        <w:rPr>
          <w:sz w:val="28"/>
          <w:szCs w:val="28"/>
          <w:lang w:val="uk-UA"/>
        </w:rPr>
        <w:t xml:space="preserve"> – сайт журналу «Фармацевт практик»</w:t>
      </w:r>
    </w:p>
    <w:p w:rsidR="00EA44A2" w:rsidRDefault="00884861" w:rsidP="00EA44A2">
      <w:pPr>
        <w:numPr>
          <w:ilvl w:val="0"/>
          <w:numId w:val="9"/>
        </w:numPr>
        <w:tabs>
          <w:tab w:val="left" w:pos="851"/>
          <w:tab w:val="left" w:pos="2520"/>
        </w:tabs>
        <w:overflowPunct/>
        <w:textAlignment w:val="auto"/>
        <w:rPr>
          <w:sz w:val="28"/>
          <w:szCs w:val="28"/>
          <w:lang w:val="uk-UA"/>
        </w:rPr>
      </w:pPr>
      <w:hyperlink r:id="rId10" w:history="1">
        <w:r w:rsidR="00EA44A2">
          <w:rPr>
            <w:rStyle w:val="a4"/>
            <w:sz w:val="28"/>
            <w:szCs w:val="28"/>
            <w:lang w:val="uk-UA"/>
          </w:rPr>
          <w:t>www.provisor.com.ua</w:t>
        </w:r>
      </w:hyperlink>
      <w:r w:rsidR="00EA44A2">
        <w:rPr>
          <w:sz w:val="28"/>
          <w:szCs w:val="28"/>
          <w:lang w:val="uk-UA"/>
        </w:rPr>
        <w:t xml:space="preserve"> – офіційний сайт журналу «Провізор»</w:t>
      </w:r>
    </w:p>
    <w:p w:rsidR="00EA44A2" w:rsidRDefault="00EA44A2" w:rsidP="00EA44A2">
      <w:pPr>
        <w:numPr>
          <w:ilvl w:val="0"/>
          <w:numId w:val="9"/>
        </w:numPr>
        <w:tabs>
          <w:tab w:val="left" w:pos="851"/>
          <w:tab w:val="left" w:pos="2520"/>
        </w:tabs>
        <w:overflowPunct/>
        <w:jc w:val="both"/>
        <w:textAlignment w:val="auto"/>
        <w:rPr>
          <w:sz w:val="28"/>
          <w:szCs w:val="28"/>
          <w:highlight w:val="white"/>
          <w:lang w:val="uk-UA"/>
        </w:rPr>
      </w:pPr>
      <w:r>
        <w:rPr>
          <w:sz w:val="28"/>
          <w:szCs w:val="28"/>
          <w:highlight w:val="white"/>
          <w:lang w:val="uk-UA"/>
        </w:rPr>
        <w:t>Компендиум: лекарственные препараты. − [Електроний ресурс]. – Режим доступу: http://compendium.com.ua/ − станом на 10.10.2016 р.</w:t>
      </w:r>
    </w:p>
    <w:p w:rsidR="00EA44A2" w:rsidRDefault="00EA44A2" w:rsidP="00EA44A2">
      <w:pPr>
        <w:numPr>
          <w:ilvl w:val="0"/>
          <w:numId w:val="9"/>
        </w:numPr>
        <w:tabs>
          <w:tab w:val="left" w:pos="851"/>
          <w:tab w:val="left" w:pos="2520"/>
        </w:tabs>
        <w:overflowPunct/>
        <w:jc w:val="both"/>
        <w:textAlignment w:val="auto"/>
        <w:rPr>
          <w:sz w:val="28"/>
          <w:szCs w:val="28"/>
          <w:highlight w:val="white"/>
          <w:lang w:val="uk-UA"/>
        </w:rPr>
      </w:pPr>
      <w:r>
        <w:rPr>
          <w:sz w:val="28"/>
          <w:szCs w:val="28"/>
          <w:highlight w:val="white"/>
          <w:lang w:val="uk-UA"/>
        </w:rPr>
        <w:t xml:space="preserve">Державний реєстр лікарських засобів України. − [Електроний ресурс]. – Режим доступу: </w:t>
      </w:r>
      <w:hyperlink r:id="rId11" w:history="1">
        <w:r>
          <w:rPr>
            <w:rStyle w:val="a4"/>
            <w:sz w:val="28"/>
            <w:szCs w:val="28"/>
            <w:highlight w:val="white"/>
            <w:lang w:val="uk-UA"/>
          </w:rPr>
          <w:t>http://www.drlz.com.ua/</w:t>
        </w:r>
      </w:hyperlink>
      <w:r>
        <w:rPr>
          <w:sz w:val="28"/>
          <w:szCs w:val="28"/>
          <w:highlight w:val="white"/>
          <w:lang w:val="uk-UA"/>
        </w:rPr>
        <w:t xml:space="preserve"> − станом на 10.01.2017 р.</w:t>
      </w:r>
    </w:p>
    <w:p w:rsidR="00EA44A2" w:rsidRDefault="00EA44A2" w:rsidP="00EA44A2">
      <w:pPr>
        <w:numPr>
          <w:ilvl w:val="0"/>
          <w:numId w:val="9"/>
        </w:numPr>
        <w:tabs>
          <w:tab w:val="left" w:pos="851"/>
          <w:tab w:val="left" w:pos="2520"/>
        </w:tabs>
        <w:overflowPunct/>
        <w:jc w:val="both"/>
        <w:textAlignment w:val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База даних «Еквалайзер» ТОВ «Бізнес-Кредит» – [Електроний ресурс]. – Режим доступу: </w:t>
      </w:r>
      <w:hyperlink r:id="rId12" w:history="1">
        <w:r>
          <w:rPr>
            <w:rStyle w:val="a4"/>
            <w:sz w:val="28"/>
            <w:szCs w:val="28"/>
            <w:lang w:val="uk-UA"/>
          </w:rPr>
          <w:t>http://eq.bck.com.ua/</w:t>
        </w:r>
      </w:hyperlink>
      <w:r>
        <w:rPr>
          <w:sz w:val="28"/>
          <w:szCs w:val="28"/>
          <w:lang w:val="uk-UA"/>
        </w:rPr>
        <w:t xml:space="preserve"> − станом на 20.09.2016 р.</w:t>
      </w:r>
    </w:p>
    <w:p w:rsidR="00EA44A2" w:rsidRDefault="00EA44A2" w:rsidP="00EA44A2">
      <w:pPr>
        <w:pStyle w:val="21"/>
        <w:jc w:val="both"/>
        <w:rPr>
          <w:spacing w:val="-4"/>
          <w:szCs w:val="28"/>
        </w:rPr>
      </w:pPr>
    </w:p>
    <w:p w:rsidR="001B284A" w:rsidRDefault="001B284A" w:rsidP="00EA44A2">
      <w:pPr>
        <w:pStyle w:val="a5"/>
      </w:pPr>
    </w:p>
    <w:sectPr w:rsidR="001B284A" w:rsidSect="00C125A6">
      <w:pgSz w:w="11906" w:h="16838"/>
      <w:pgMar w:top="1134" w:right="567" w:bottom="1134" w:left="1134" w:header="708" w:footer="708" w:gutter="0"/>
      <w:cols w:space="720"/>
      <w:titlePg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527A9904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/>
      </w:rPr>
    </w:lvl>
  </w:abstractNum>
  <w:abstractNum w:abstractNumId="2" w15:restartNumberingAfterBreak="0">
    <w:nsid w:val="00000009"/>
    <w:multiLevelType w:val="single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sz w:val="24"/>
        <w:szCs w:val="24"/>
      </w:rPr>
    </w:lvl>
  </w:abstractNum>
  <w:abstractNum w:abstractNumId="3" w15:restartNumberingAfterBreak="0">
    <w:nsid w:val="192E3E47"/>
    <w:multiLevelType w:val="hybridMultilevel"/>
    <w:tmpl w:val="EB722BEC"/>
    <w:name w:val="WW8Num222"/>
    <w:lvl w:ilvl="0" w:tplc="76422E8C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i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3D65164A"/>
    <w:multiLevelType w:val="hybridMultilevel"/>
    <w:tmpl w:val="A9AE059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4B622F44"/>
    <w:multiLevelType w:val="singleLevel"/>
    <w:tmpl w:val="E31E926C"/>
    <w:lvl w:ilvl="0">
      <w:start w:val="1"/>
      <w:numFmt w:val="decimal"/>
      <w:lvlText w:val="%1."/>
      <w:legacy w:legacy="1" w:legacySpace="0" w:legacyIndent="36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6" w15:restartNumberingAfterBreak="0">
    <w:nsid w:val="62E82674"/>
    <w:multiLevelType w:val="hybridMultilevel"/>
    <w:tmpl w:val="F1E800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69302799"/>
    <w:multiLevelType w:val="hybridMultilevel"/>
    <w:tmpl w:val="818C5D52"/>
    <w:name w:val="WW8Num22"/>
    <w:lvl w:ilvl="0" w:tplc="00000008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7DF450D5"/>
    <w:multiLevelType w:val="hybridMultilevel"/>
    <w:tmpl w:val="9BF6BDC0"/>
    <w:lvl w:ilvl="0" w:tplc="0419000F">
      <w:start w:val="1"/>
      <w:numFmt w:val="decimal"/>
      <w:lvlText w:val="%1."/>
      <w:lvlJc w:val="left"/>
      <w:pPr>
        <w:ind w:left="786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6"/>
  </w:num>
  <w:num w:numId="2">
    <w:abstractNumId w:val="4"/>
  </w:num>
  <w:num w:numId="3">
    <w:abstractNumId w:val="8"/>
  </w:num>
  <w:num w:numId="4">
    <w:abstractNumId w:val="1"/>
  </w:num>
  <w:num w:numId="5">
    <w:abstractNumId w:val="2"/>
  </w:num>
  <w:num w:numId="6">
    <w:abstractNumId w:val="7"/>
  </w:num>
  <w:num w:numId="7">
    <w:abstractNumId w:val="3"/>
  </w:num>
  <w:num w:numId="8">
    <w:abstractNumId w:val="5"/>
    <w:lvlOverride w:ilvl="0">
      <w:startOverride w:val="1"/>
    </w:lvlOverride>
  </w:num>
  <w:num w:numId="9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0" w:firstLine="0"/>
        </w:pPr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DE0"/>
    <w:rsid w:val="00025DA1"/>
    <w:rsid w:val="001B284A"/>
    <w:rsid w:val="0039333F"/>
    <w:rsid w:val="00884861"/>
    <w:rsid w:val="00E95DE0"/>
    <w:rsid w:val="00EA4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70739"/>
  <w15:docId w15:val="{E57F137B-57FC-4BDC-B013-17CBA0E63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5DA1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25DA1"/>
    <w:pPr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="Calibri" w:hAnsi="Calibri"/>
      <w:sz w:val="22"/>
      <w:szCs w:val="22"/>
      <w:lang w:eastAsia="en-US"/>
    </w:rPr>
  </w:style>
  <w:style w:type="character" w:styleId="a4">
    <w:name w:val="Hyperlink"/>
    <w:basedOn w:val="a0"/>
    <w:uiPriority w:val="99"/>
    <w:rsid w:val="0039333F"/>
    <w:rPr>
      <w:rFonts w:cs="Times New Roman"/>
      <w:color w:val="0260D0"/>
      <w:u w:val="none"/>
    </w:rPr>
  </w:style>
  <w:style w:type="paragraph" w:styleId="a5">
    <w:name w:val="Title"/>
    <w:basedOn w:val="a"/>
    <w:next w:val="a6"/>
    <w:link w:val="a7"/>
    <w:uiPriority w:val="99"/>
    <w:qFormat/>
    <w:rsid w:val="0039333F"/>
    <w:pPr>
      <w:suppressAutoHyphens/>
      <w:overflowPunct/>
      <w:autoSpaceDE/>
      <w:autoSpaceDN/>
      <w:adjustRightInd/>
      <w:jc w:val="center"/>
      <w:textAlignment w:val="auto"/>
    </w:pPr>
    <w:rPr>
      <w:b/>
      <w:bCs/>
      <w:sz w:val="24"/>
      <w:szCs w:val="24"/>
      <w:lang w:val="uk-UA" w:eastAsia="ar-SA"/>
    </w:rPr>
  </w:style>
  <w:style w:type="character" w:customStyle="1" w:styleId="a7">
    <w:name w:val="Заголовок Знак"/>
    <w:basedOn w:val="a0"/>
    <w:link w:val="a5"/>
    <w:uiPriority w:val="99"/>
    <w:rsid w:val="0039333F"/>
    <w:rPr>
      <w:rFonts w:ascii="Times New Roman" w:eastAsia="Times New Roman" w:hAnsi="Times New Roman" w:cs="Times New Roman"/>
      <w:b/>
      <w:bCs/>
      <w:sz w:val="24"/>
      <w:szCs w:val="24"/>
      <w:lang w:val="uk-UA" w:eastAsia="ar-SA"/>
    </w:rPr>
  </w:style>
  <w:style w:type="paragraph" w:styleId="a6">
    <w:name w:val="Body Text"/>
    <w:basedOn w:val="a"/>
    <w:link w:val="a8"/>
    <w:uiPriority w:val="99"/>
    <w:rsid w:val="0039333F"/>
    <w:pPr>
      <w:suppressAutoHyphens/>
      <w:overflowPunct/>
      <w:autoSpaceDE/>
      <w:autoSpaceDN/>
      <w:adjustRightInd/>
      <w:jc w:val="both"/>
      <w:textAlignment w:val="auto"/>
    </w:pPr>
    <w:rPr>
      <w:sz w:val="28"/>
      <w:lang w:val="uk-UA" w:eastAsia="zh-CN"/>
    </w:rPr>
  </w:style>
  <w:style w:type="character" w:customStyle="1" w:styleId="a8">
    <w:name w:val="Основной текст Знак"/>
    <w:basedOn w:val="a0"/>
    <w:link w:val="a6"/>
    <w:uiPriority w:val="99"/>
    <w:rsid w:val="0039333F"/>
    <w:rPr>
      <w:rFonts w:ascii="Times New Roman" w:eastAsia="Times New Roman" w:hAnsi="Times New Roman" w:cs="Times New Roman"/>
      <w:sz w:val="28"/>
      <w:szCs w:val="20"/>
      <w:lang w:val="uk-UA" w:eastAsia="zh-CN"/>
    </w:rPr>
  </w:style>
  <w:style w:type="paragraph" w:customStyle="1" w:styleId="21">
    <w:name w:val="Основной текст 21"/>
    <w:basedOn w:val="a"/>
    <w:uiPriority w:val="99"/>
    <w:rsid w:val="0039333F"/>
    <w:pPr>
      <w:suppressAutoHyphens/>
      <w:overflowPunct/>
      <w:autoSpaceDE/>
      <w:autoSpaceDN/>
      <w:adjustRightInd/>
      <w:textAlignment w:val="auto"/>
    </w:pPr>
    <w:rPr>
      <w:sz w:val="28"/>
      <w:lang w:val="uk-UA" w:eastAsia="zh-CN"/>
    </w:rPr>
  </w:style>
  <w:style w:type="paragraph" w:styleId="2">
    <w:name w:val="Body Text 2"/>
    <w:basedOn w:val="a"/>
    <w:link w:val="20"/>
    <w:uiPriority w:val="99"/>
    <w:rsid w:val="0039333F"/>
    <w:pPr>
      <w:suppressAutoHyphens/>
      <w:overflowPunct/>
      <w:autoSpaceDE/>
      <w:autoSpaceDN/>
      <w:adjustRightInd/>
      <w:spacing w:after="120" w:line="480" w:lineRule="auto"/>
      <w:textAlignment w:val="auto"/>
    </w:pPr>
    <w:rPr>
      <w:lang w:eastAsia="zh-CN"/>
    </w:rPr>
  </w:style>
  <w:style w:type="character" w:customStyle="1" w:styleId="20">
    <w:name w:val="Основной текст 2 Знак"/>
    <w:basedOn w:val="a0"/>
    <w:link w:val="2"/>
    <w:uiPriority w:val="99"/>
    <w:rsid w:val="0039333F"/>
    <w:rPr>
      <w:rFonts w:ascii="Times New Roman" w:eastAsia="Times New Roman" w:hAnsi="Times New Roman" w:cs="Times New Roman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059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z.gov.ua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cbi.nlm.nih.gov/pubmed/?term=Biserni%20S%5BAuthor%5D&amp;cauthor=true&amp;cauthor_uid=24836668" TargetMode="External"/><Relationship Id="rId12" Type="http://schemas.openxmlformats.org/officeDocument/2006/relationships/hyperlink" Target="http://eq.bck.com.u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cbi.nlm.nih.gov/pubmed/?term=Faulhammer%20E%5BAuthor%5D&amp;cauthor=true&amp;cauthor_uid=24836668" TargetMode="External"/><Relationship Id="rId11" Type="http://schemas.openxmlformats.org/officeDocument/2006/relationships/hyperlink" Target="http://www.drlz.com.ua/" TargetMode="External"/><Relationship Id="rId5" Type="http://schemas.openxmlformats.org/officeDocument/2006/relationships/hyperlink" Target="http://www.ncbi.nlm.nih.gov/pubmed/?term=Llusa%20M%5BAuthor%5D&amp;cauthor=true&amp;cauthor_uid=24836668" TargetMode="External"/><Relationship Id="rId10" Type="http://schemas.openxmlformats.org/officeDocument/2006/relationships/hyperlink" Target="http://www.provisor.com.ua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fp.com.ua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10851</Words>
  <Characters>6186</Characters>
  <Application>Microsoft Office Word</Application>
  <DocSecurity>0</DocSecurity>
  <Lines>51</Lines>
  <Paragraphs>34</Paragraphs>
  <ScaleCrop>false</ScaleCrop>
  <Company>diakov.net</Company>
  <LinksUpToDate>false</LinksUpToDate>
  <CharactersWithSpaces>17003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Валіводзь Ірина Петрівна</cp:lastModifiedBy>
  <cp:revision>6</cp:revision>
  <dcterms:created xsi:type="dcterms:W3CDTF">2020-10-14T13:04:00Z</dcterms:created>
  <dcterms:modified xsi:type="dcterms:W3CDTF">2022-09-21T08:50:00Z</dcterms:modified>
</cp:coreProperties>
</file>