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F72" w:rsidRPr="00025DA1" w:rsidRDefault="005A6F72" w:rsidP="005A6F72">
      <w:pPr>
        <w:shd w:val="clear" w:color="auto" w:fill="FFFFFF"/>
        <w:jc w:val="center"/>
        <w:rPr>
          <w:b/>
          <w:sz w:val="28"/>
          <w:szCs w:val="28"/>
          <w:u w:val="single"/>
          <w:lang w:val="uk-UA"/>
        </w:rPr>
      </w:pPr>
      <w:bookmarkStart w:id="0" w:name="_GoBack"/>
      <w:bookmarkEnd w:id="0"/>
      <w:r w:rsidRPr="00025DA1">
        <w:rPr>
          <w:b/>
          <w:sz w:val="28"/>
          <w:szCs w:val="28"/>
          <w:u w:val="single"/>
          <w:lang w:val="uk-UA"/>
        </w:rPr>
        <w:t xml:space="preserve">Перелік питань, </w:t>
      </w:r>
      <w:r w:rsidR="000867B4">
        <w:rPr>
          <w:b/>
          <w:sz w:val="28"/>
          <w:szCs w:val="28"/>
          <w:u w:val="single"/>
          <w:lang w:val="uk-UA"/>
        </w:rPr>
        <w:t>для підсумкового заняття з</w:t>
      </w:r>
      <w:r w:rsidRPr="00025DA1">
        <w:rPr>
          <w:b/>
          <w:sz w:val="28"/>
          <w:szCs w:val="28"/>
          <w:u w:val="single"/>
          <w:lang w:val="uk-UA"/>
        </w:rPr>
        <w:t xml:space="preserve"> ди</w:t>
      </w:r>
      <w:r>
        <w:rPr>
          <w:b/>
          <w:sz w:val="28"/>
          <w:szCs w:val="28"/>
          <w:u w:val="single"/>
          <w:lang w:val="uk-UA"/>
        </w:rPr>
        <w:t>сципліни «Біофармація</w:t>
      </w:r>
      <w:r w:rsidRPr="00025DA1">
        <w:rPr>
          <w:b/>
          <w:sz w:val="28"/>
          <w:szCs w:val="28"/>
          <w:u w:val="single"/>
          <w:lang w:val="uk-UA"/>
        </w:rPr>
        <w:t>»</w:t>
      </w:r>
    </w:p>
    <w:p w:rsidR="005A6F72" w:rsidRDefault="005A6F72" w:rsidP="005A6F72">
      <w:pPr>
        <w:jc w:val="both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1. Біофармація як науковий напрямок та її значення при розробці складу та технології лікарських форм. </w:t>
      </w:r>
    </w:p>
    <w:p w:rsidR="005A6F72" w:rsidRDefault="005A6F72" w:rsidP="005A6F72">
      <w:pPr>
        <w:jc w:val="both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2. Етапи розвитку біофармації. Основні терміни біофармації.</w:t>
      </w:r>
    </w:p>
    <w:p w:rsidR="005A6F72" w:rsidRDefault="005A6F72" w:rsidP="005A6F72">
      <w:pPr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3. Фармацевтичні фактори. Фізичний стан лікарських речовин.</w:t>
      </w:r>
    </w:p>
    <w:p w:rsidR="005A6F72" w:rsidRDefault="005A6F72" w:rsidP="005A6F72">
      <w:pPr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4. Розкрити поняття: поліморфізм, розчинність, хімічна модифікація, допоміжні речовини. </w:t>
      </w:r>
    </w:p>
    <w:p w:rsidR="005A6F72" w:rsidRDefault="005A6F72" w:rsidP="005A6F72">
      <w:pPr>
        <w:jc w:val="both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5. Поняття біологічної доступності лікарських речовин. 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6. Основні показники біологічної доступності ліків. Фактори, які впливають на біологічні доступність ліків.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7. Вплив фізичного стану лікарських засобів на швидкість їх вивільнення з лікарських форм.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8. Вплив природи допоміжних речовин на процес вивільнення лікарських засобів з лікарських форм.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9. Вплив лікарської форми на процес вивільнення лікарських речовин з лікарських препаратів.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10. Вплив шляху введення та простої хімічної модифікації  лікарських речовин на процес їх всмоктування.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11. Біоеквівалентність лікарських засобів. Оцінка біоеквівалентності.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12. Вплив технологічних факторів на швидкість розчинення таблеток та стабільність ін`єкційних розчинів. Терапевтична нееквівалентність лікарських препаратів.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13. Фармако-технологічні методи оцінки розпаду, розчинності та вивільнення лікарських речовин з лікарських препаратів.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 xml:space="preserve">14. Біофармація – теоретична основа технології лікарських засобів. 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15. Пероральні та ректальні лікарські форми з урахуванням біофармацевтичних факторів.</w:t>
      </w:r>
    </w:p>
    <w:p w:rsidR="005A6F72" w:rsidRDefault="005A6F72" w:rsidP="005A6F72">
      <w:pPr>
        <w:jc w:val="both"/>
        <w:rPr>
          <w:sz w:val="28"/>
        </w:rPr>
      </w:pPr>
      <w:r>
        <w:rPr>
          <w:sz w:val="28"/>
        </w:rPr>
        <w:t>16. Зовнішні, м’які, назальні та ушні лікарські форми з урахуванням біофармацевтичних факторів.</w:t>
      </w:r>
    </w:p>
    <w:p w:rsidR="005A6F72" w:rsidRDefault="005A6F72" w:rsidP="005A6F72">
      <w:pPr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17. Вплив взаємодії лікарських речовин на біодоступність. </w:t>
      </w:r>
    </w:p>
    <w:p w:rsidR="005A6F72" w:rsidRDefault="005A6F72" w:rsidP="005A6F72">
      <w:pPr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18. Комбіновані лікарські засоби.</w:t>
      </w:r>
    </w:p>
    <w:p w:rsidR="005A6F72" w:rsidRDefault="005A6F72" w:rsidP="005A6F72">
      <w:pPr>
        <w:tabs>
          <w:tab w:val="left" w:pos="480"/>
        </w:tabs>
        <w:jc w:val="both"/>
        <w:rPr>
          <w:sz w:val="28"/>
        </w:rPr>
      </w:pPr>
      <w:r>
        <w:rPr>
          <w:sz w:val="28"/>
        </w:rPr>
        <w:t>19. Роль біофармації в розробці нових та удосконаленні існуючих лікарських препаратів.</w:t>
      </w:r>
    </w:p>
    <w:p w:rsidR="005A6F72" w:rsidRDefault="005A6F72" w:rsidP="005A6F72">
      <w:pPr>
        <w:tabs>
          <w:tab w:val="left" w:pos="480"/>
        </w:tabs>
        <w:jc w:val="both"/>
        <w:rPr>
          <w:sz w:val="28"/>
        </w:rPr>
      </w:pPr>
      <w:r>
        <w:rPr>
          <w:sz w:val="28"/>
        </w:rPr>
        <w:t xml:space="preserve">20. Вплив взаємодії лікарських речовин на біодоступність лікарських засобів. </w:t>
      </w:r>
    </w:p>
    <w:p w:rsidR="005A6F72" w:rsidRDefault="005A6F72" w:rsidP="005A6F72">
      <w:pPr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21. Біоеквівалентність лікарських засобів. Оцінка біоеквівалентності.</w:t>
      </w:r>
    </w:p>
    <w:p w:rsidR="005A6F72" w:rsidRDefault="005A6F72" w:rsidP="005A6F72">
      <w:pPr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22. Фармако-технологічні методи оцінки розпаду, розчинності та вивільнення лікарських речовин з лікарських препаратів.</w:t>
      </w:r>
    </w:p>
    <w:p w:rsidR="005A6F72" w:rsidRDefault="005A6F72" w:rsidP="005A6F72">
      <w:pPr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23. Порядок проведення доклінічного вивчення лікарських засобів, вимоги до умов проведення доклінічних досліджень.</w:t>
      </w:r>
    </w:p>
    <w:p w:rsidR="005A6F72" w:rsidRDefault="005A6F72" w:rsidP="005A6F72">
      <w:pPr>
        <w:jc w:val="both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24. Проведення клінічних випробувань лікарських засобів</w:t>
      </w:r>
    </w:p>
    <w:p w:rsidR="005A6F72" w:rsidRDefault="005A6F72" w:rsidP="005A6F72">
      <w:pPr>
        <w:tabs>
          <w:tab w:val="left" w:pos="480"/>
        </w:tabs>
        <w:jc w:val="both"/>
        <w:rPr>
          <w:sz w:val="28"/>
        </w:rPr>
      </w:pPr>
    </w:p>
    <w:p w:rsidR="005A6F72" w:rsidRDefault="005A6F72" w:rsidP="005A6F72">
      <w:pPr>
        <w:tabs>
          <w:tab w:val="left" w:pos="480"/>
        </w:tabs>
        <w:jc w:val="center"/>
        <w:rPr>
          <w:b/>
          <w:sz w:val="28"/>
        </w:rPr>
      </w:pPr>
      <w:r>
        <w:rPr>
          <w:b/>
          <w:sz w:val="28"/>
        </w:rPr>
        <w:t>Джерела інформації:</w:t>
      </w:r>
    </w:p>
    <w:p w:rsidR="005A6F72" w:rsidRDefault="005A6F72" w:rsidP="005A6F72">
      <w:pPr>
        <w:shd w:val="clear" w:color="auto" w:fill="FFFFFF"/>
        <w:rPr>
          <w:b/>
          <w:color w:val="000000"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Основні:</w:t>
      </w:r>
    </w:p>
    <w:p w:rsidR="005A6F72" w:rsidRDefault="005A6F72" w:rsidP="005A6F72">
      <w:p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1.Бiофармацiя: пiдруч. для студ. вищих фармац. навч. закладiв i фармац. ф–тiв вищ. мед. навч. закладiв IV рiвня акредидацiї / О.I. Тихонов, Т.Г. Ярних, </w:t>
      </w:r>
      <w:r>
        <w:rPr>
          <w:color w:val="000000"/>
          <w:sz w:val="28"/>
          <w:szCs w:val="28"/>
          <w:lang w:val="uk-UA"/>
        </w:rPr>
        <w:br/>
      </w:r>
      <w:r>
        <w:rPr>
          <w:color w:val="000000"/>
          <w:sz w:val="28"/>
          <w:szCs w:val="28"/>
          <w:lang w:val="uk-UA"/>
        </w:rPr>
        <w:lastRenderedPageBreak/>
        <w:t xml:space="preserve">I.А. Зупанець, О.С. Данькевич, О.Є. Богуцька, Н.В. Бездiтко, Ю.М. Азаренко, </w:t>
      </w:r>
      <w:r>
        <w:rPr>
          <w:color w:val="000000"/>
          <w:sz w:val="28"/>
          <w:szCs w:val="28"/>
          <w:lang w:val="uk-UA"/>
        </w:rPr>
        <w:br/>
        <w:t xml:space="preserve">Ю.В. Левачкова. – Х.: </w:t>
      </w:r>
      <w:r w:rsidR="000F462F">
        <w:rPr>
          <w:color w:val="000000"/>
          <w:sz w:val="28"/>
          <w:szCs w:val="28"/>
          <w:lang w:val="uk-UA"/>
        </w:rPr>
        <w:t>Вид–во НФаУ : Золоті сторінки</w:t>
      </w:r>
      <w:r>
        <w:rPr>
          <w:color w:val="000000"/>
          <w:sz w:val="28"/>
          <w:szCs w:val="28"/>
          <w:lang w:val="uk-UA"/>
        </w:rPr>
        <w:t xml:space="preserve">, 2010. – 240 с. </w:t>
      </w:r>
    </w:p>
    <w:p w:rsidR="005A6F72" w:rsidRDefault="005A6F72" w:rsidP="005A6F72">
      <w:pPr>
        <w:numPr>
          <w:ilvl w:val="12"/>
          <w:numId w:val="0"/>
        </w:numPr>
        <w:tabs>
          <w:tab w:val="left" w:pos="0"/>
        </w:tabs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Додаткові:</w:t>
      </w:r>
    </w:p>
    <w:p w:rsidR="005A6F72" w:rsidRDefault="005A6F72" w:rsidP="005A6F72">
      <w:p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>
        <w:rPr>
          <w:color w:val="000000"/>
          <w:sz w:val="28"/>
          <w:szCs w:val="28"/>
          <w:lang w:val="uk-UA"/>
        </w:rPr>
        <w:t xml:space="preserve">Допомiжнi речовини в технологiї лiкiв: вплив на технологiчнi, споживчi, економiчнi характеристики i терапевтичну ефективнiсть : навч. посiбник для студ. вищ. фармац. навч. закладiв / I.М. Перцев, Д.I. Дмитрiєвський, В.Д. Рибачук, </w:t>
      </w:r>
      <w:r>
        <w:rPr>
          <w:color w:val="000000"/>
          <w:sz w:val="28"/>
          <w:szCs w:val="28"/>
          <w:lang w:val="uk-UA"/>
        </w:rPr>
        <w:br/>
        <w:t>В.М. Хоменко, О.П. Гудзенко, О.М. Котенко, Ю.С. Маслiй. – Х. : Золотi сторiнки, 2010. – 600 с.</w:t>
      </w:r>
    </w:p>
    <w:p w:rsidR="005A6F72" w:rsidRPr="00027178" w:rsidRDefault="005A6F72" w:rsidP="005A6F72">
      <w:p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2. </w:t>
      </w:r>
      <w:r>
        <w:rPr>
          <w:sz w:val="28"/>
          <w:szCs w:val="28"/>
          <w:lang w:val="uk-UA"/>
        </w:rPr>
        <w:t>Тихонов О.I. Аптечна технологiя лiкiв. Бiофармацевтичнi аспекти герiатричних препаратiв: лекцiя для аспiрантiв спец. «Технологiя лiкiв та органiзацiя фармацевтичної справи» / О.I. Тихонов, Т.Г. Ярних, О.Є. Богуцька. – Х. : Вид–во НФаУ, 2009. – 20 с.</w:t>
      </w:r>
    </w:p>
    <w:p w:rsidR="005A6F72" w:rsidRPr="00875058" w:rsidRDefault="005A6F72" w:rsidP="005A6F72">
      <w:pPr>
        <w:rPr>
          <w:sz w:val="28"/>
          <w:shd w:val="clear" w:color="auto" w:fill="FFFFFF"/>
          <w:lang w:val="uk-UA"/>
        </w:rPr>
      </w:pPr>
    </w:p>
    <w:p w:rsidR="005A2E5B" w:rsidRPr="005A6F72" w:rsidRDefault="005A2E5B" w:rsidP="005A6F72">
      <w:pPr>
        <w:rPr>
          <w:lang w:val="uk-UA"/>
        </w:rPr>
      </w:pPr>
    </w:p>
    <w:sectPr w:rsidR="005A2E5B" w:rsidRPr="005A6F72" w:rsidSect="005A6F7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A6F72"/>
    <w:rsid w:val="00025DA1"/>
    <w:rsid w:val="00027178"/>
    <w:rsid w:val="000867B4"/>
    <w:rsid w:val="000F462F"/>
    <w:rsid w:val="002120D2"/>
    <w:rsid w:val="002163C4"/>
    <w:rsid w:val="002F57A6"/>
    <w:rsid w:val="00304D9F"/>
    <w:rsid w:val="005A2E5B"/>
    <w:rsid w:val="005A595C"/>
    <w:rsid w:val="005A6F72"/>
    <w:rsid w:val="00875058"/>
    <w:rsid w:val="00BC389E"/>
    <w:rsid w:val="00BE52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6F7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dm_pa</cp:lastModifiedBy>
  <cp:revision>4</cp:revision>
  <dcterms:created xsi:type="dcterms:W3CDTF">2021-08-30T11:33:00Z</dcterms:created>
  <dcterms:modified xsi:type="dcterms:W3CDTF">2023-02-02T15:52:00Z</dcterms:modified>
</cp:coreProperties>
</file>