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458" w:rsidRPr="00D56458" w:rsidRDefault="00D56458" w:rsidP="00D56458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56458">
        <w:rPr>
          <w:rFonts w:ascii="Times New Roman" w:hAnsi="Times New Roman" w:cs="Times New Roman"/>
          <w:b/>
          <w:sz w:val="28"/>
          <w:szCs w:val="28"/>
          <w:lang w:val="en-US"/>
        </w:rPr>
        <w:t>Plan of practical classes on the discipline</w:t>
      </w:r>
    </w:p>
    <w:p w:rsidR="005A2E5B" w:rsidRDefault="00D56458" w:rsidP="00D564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458">
        <w:rPr>
          <w:rFonts w:ascii="Times New Roman" w:hAnsi="Times New Roman" w:cs="Times New Roman"/>
          <w:b/>
          <w:sz w:val="28"/>
          <w:szCs w:val="28"/>
        </w:rPr>
        <w:t>"BIOPHARMACY"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83"/>
        <w:gridCol w:w="7386"/>
        <w:gridCol w:w="1176"/>
      </w:tblGrid>
      <w:tr w:rsidR="00D56458" w:rsidRPr="00D56458" w:rsidTr="00D56458"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r w:rsidRPr="00D56458">
              <w:rPr>
                <w:rFonts w:ascii="Times New Roman" w:hAnsi="Times New Roman" w:cs="Times New Roman"/>
                <w:b/>
                <w:sz w:val="28"/>
                <w:szCs w:val="28"/>
              </w:rPr>
              <w:t>№№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Topic and content of the lesson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6458">
              <w:rPr>
                <w:rFonts w:ascii="Times New Roman" w:hAnsi="Times New Roman" w:cs="Times New Roman"/>
                <w:b/>
                <w:sz w:val="28"/>
                <w:szCs w:val="28"/>
              </w:rPr>
              <w:t>Volume</w:t>
            </w:r>
            <w:proofErr w:type="spellEnd"/>
            <w:r w:rsidRPr="00D5645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b/>
                <w:sz w:val="28"/>
                <w:szCs w:val="28"/>
              </w:rPr>
              <w:t>in</w:t>
            </w:r>
            <w:proofErr w:type="spellEnd"/>
            <w:r w:rsidRPr="00D5645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b/>
                <w:sz w:val="28"/>
                <w:szCs w:val="28"/>
              </w:rPr>
              <w:t>hours</w:t>
            </w:r>
            <w:proofErr w:type="spellEnd"/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keepNext/>
              <w:tabs>
                <w:tab w:val="left" w:pos="0"/>
              </w:tabs>
              <w:spacing w:after="0" w:line="240" w:lineRule="auto"/>
              <w:ind w:right="-55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Biopharmacy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as a scientific and educational discipline.</w:t>
            </w:r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Subject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and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tasks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of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the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discipline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. </w:t>
            </w: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main indicators of bioavailability of drugs.</w:t>
            </w:r>
            <w:r w:rsidRPr="00D5645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Factors that affect the biological availability of drugs.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56458" w:rsidRPr="00D56458" w:rsidTr="00D56458"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keepNext/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influence of the physical condition of drugs on their release rate from dosage forms.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influence of the nature of excipients on the process of drug release from dosage forms.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effect of the dosage form on the process of release of drugs from drugs.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keepNext/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influence of the route of administration and simple chemical modification of drugs on the process of their absorption.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 influence of technological factors on the dissolution rate of tablets and the stability of injection solutions.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Therapeutic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nonequivalence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of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drugs</w:t>
            </w:r>
            <w:proofErr w:type="spellEnd"/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Pharmaceutical and technological methods for assessing the decay, solubility and release of drugs from drugs.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Bioequivalence of drugs. Evaluation of bioequivalence.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Bioavailability of drugs. Absolute, relative bioavailability. Classification of factors influencing the bioavailability of drugs.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Molecular weight, solubility, acidity, alkalinity, physical state and polymorphism as physicochemical factors influencing the bioavailability of drugs.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Influence on bioavailability and therapeutic activity of spatial isomerism and optical properties of drugs.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12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Lipophilicity</w:t>
            </w:r>
            <w:proofErr w:type="spellEnd"/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and its influence on pharmacokinetic characteristics and dynamics of bioavailability of drugs.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13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Classification of pharmaceutical factors: physical state; excipients (their nature, physical condition and quantity).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The choice of dosage form and route of administration of the drug into the body.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15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Interaction of drugs with food.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Interaction with other medicinal products.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4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D56458" w:rsidRPr="00D56458" w:rsidTr="00D56458">
        <w:trPr>
          <w:trHeight w:val="1"/>
        </w:trPr>
        <w:tc>
          <w:tcPr>
            <w:tcW w:w="437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56458" w:rsidRPr="00D56458" w:rsidRDefault="00D56458" w:rsidP="00D56458">
            <w:pPr>
              <w:tabs>
                <w:tab w:val="left" w:pos="88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Всього годин:</w:t>
            </w:r>
          </w:p>
        </w:tc>
        <w:tc>
          <w:tcPr>
            <w:tcW w:w="63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6458" w:rsidRPr="00D56458" w:rsidRDefault="00D56458" w:rsidP="00D56458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64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</w:tr>
      <w:bookmarkEnd w:id="0"/>
    </w:tbl>
    <w:p w:rsidR="00D56458" w:rsidRPr="00D56458" w:rsidRDefault="00D56458" w:rsidP="00D5645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56458" w:rsidRPr="00D56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458"/>
    <w:rsid w:val="00304D9F"/>
    <w:rsid w:val="005A2E5B"/>
    <w:rsid w:val="00D5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37604"/>
  <w15:chartTrackingRefBased/>
  <w15:docId w15:val="{17486A7A-08C5-444C-AD64-A9F08E22F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2022-06-09T21:09:00Z</dcterms:created>
  <dcterms:modified xsi:type="dcterms:W3CDTF">2022-06-09T21:10:00Z</dcterms:modified>
</cp:coreProperties>
</file>