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0BA" w:rsidRPr="003160BA" w:rsidRDefault="003160BA" w:rsidP="003160BA">
      <w:pPr>
        <w:spacing w:after="0" w:line="322" w:lineRule="atLeast"/>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ODESSA NATIONAL MEDICAL UNIVERSITY</w:t>
      </w:r>
    </w:p>
    <w:p w:rsidR="003160BA" w:rsidRPr="003160BA" w:rsidRDefault="003160BA" w:rsidP="003160BA">
      <w:pPr>
        <w:spacing w:after="0" w:line="322" w:lineRule="atLeast"/>
        <w:jc w:val="center"/>
        <w:outlineLvl w:val="4"/>
        <w:rPr>
          <w:rFonts w:ascii="Calibri" w:hAnsi="Calibri" w:cs="Calibri"/>
          <w:b/>
          <w:bCs/>
          <w:color w:val="000000"/>
          <w:sz w:val="28"/>
          <w:szCs w:val="28"/>
          <w:lang w:val="en-US" w:eastAsia="ru-RU"/>
        </w:rPr>
      </w:pPr>
      <w:r w:rsidRPr="003160BA">
        <w:rPr>
          <w:rFonts w:ascii="Times New Roman" w:hAnsi="Times New Roman"/>
          <w:b/>
          <w:bCs/>
          <w:caps/>
          <w:color w:val="000000"/>
          <w:sz w:val="28"/>
          <w:szCs w:val="28"/>
          <w:lang w:val="en-US" w:eastAsia="ru-RU"/>
        </w:rPr>
        <w:t xml:space="preserve">DEPARTMENT OF </w:t>
      </w:r>
      <w:r w:rsidR="005A1476">
        <w:rPr>
          <w:rFonts w:ascii="Times New Roman" w:hAnsi="Times New Roman"/>
          <w:b/>
          <w:bCs/>
          <w:caps/>
          <w:color w:val="000000"/>
          <w:sz w:val="28"/>
          <w:szCs w:val="28"/>
          <w:lang w:val="en-US" w:eastAsia="ru-RU"/>
        </w:rPr>
        <w:t>DRUGS</w:t>
      </w:r>
      <w:r w:rsidRPr="003160BA">
        <w:rPr>
          <w:rFonts w:ascii="Times New Roman" w:hAnsi="Times New Roman"/>
          <w:b/>
          <w:bCs/>
          <w:caps/>
          <w:color w:val="000000"/>
          <w:sz w:val="28"/>
          <w:szCs w:val="28"/>
          <w:lang w:val="en-US" w:eastAsia="ru-RU"/>
        </w:rPr>
        <w:t xml:space="preserve"> TECHNOLOGY</w:t>
      </w:r>
    </w:p>
    <w:p w:rsidR="003160BA" w:rsidRPr="003160BA" w:rsidRDefault="003160BA" w:rsidP="003160BA">
      <w:pPr>
        <w:spacing w:after="0" w:line="322" w:lineRule="atLeast"/>
        <w:jc w:val="center"/>
        <w:rPr>
          <w:rFonts w:ascii="Calibri" w:hAnsi="Calibri" w:cs="Calibri"/>
          <w:color w:val="000000"/>
          <w:sz w:val="28"/>
          <w:szCs w:val="28"/>
          <w:lang w:val="en-US" w:eastAsia="ru-RU"/>
        </w:rPr>
      </w:pPr>
    </w:p>
    <w:p w:rsidR="00424231" w:rsidRPr="005A59BB" w:rsidRDefault="00424231" w:rsidP="00424231">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424231" w:rsidRPr="005A59BB" w:rsidRDefault="00424231" w:rsidP="00424231">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424231" w:rsidRPr="005A59BB" w:rsidRDefault="002915A7" w:rsidP="00424231">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5"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424231" w:rsidRPr="005A59BB">
        <w:rPr>
          <w:rFonts w:ascii="Times New Roman" w:hAnsi="Times New Roman"/>
          <w:color w:val="000000"/>
          <w:sz w:val="28"/>
          <w:szCs w:val="28"/>
          <w:lang w:val="en-US" w:eastAsia="ru-RU"/>
        </w:rPr>
        <w:t>(BorisyukI.Yu.)</w:t>
      </w:r>
    </w:p>
    <w:p w:rsidR="00424231" w:rsidRPr="005A59BB" w:rsidRDefault="00424231" w:rsidP="00424231">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424231" w:rsidRPr="005A59BB" w:rsidRDefault="00881423" w:rsidP="00424231">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w:t>
      </w:r>
      <w:r w:rsidR="00424231" w:rsidRPr="005A59BB">
        <w:rPr>
          <w:rFonts w:ascii="Times New Roman" w:hAnsi="Times New Roman"/>
          <w:color w:val="000000"/>
          <w:sz w:val="28"/>
          <w:szCs w:val="28"/>
          <w:lang w:val="en-US" w:eastAsia="ru-RU"/>
        </w:rPr>
        <w:t>»</w:t>
      </w:r>
      <w:r w:rsidR="00424231">
        <w:rPr>
          <w:rFonts w:ascii="Times New Roman" w:hAnsi="Times New Roman"/>
          <w:color w:val="000000"/>
          <w:sz w:val="28"/>
          <w:szCs w:val="28"/>
          <w:lang w:val="en-US" w:eastAsia="ru-RU"/>
        </w:rPr>
        <w:t xml:space="preserve"> a</w:t>
      </w:r>
      <w:r w:rsidR="00424231"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424231">
        <w:rPr>
          <w:rFonts w:ascii="Times New Roman" w:hAnsi="Times New Roman"/>
          <w:color w:val="000000"/>
          <w:sz w:val="28"/>
          <w:szCs w:val="28"/>
          <w:lang w:val="en-US" w:eastAsia="ru-RU"/>
        </w:rPr>
        <w:t>y.</w:t>
      </w:r>
    </w:p>
    <w:p w:rsidR="003160BA" w:rsidRPr="003160BA" w:rsidRDefault="003160BA" w:rsidP="003160BA">
      <w:pPr>
        <w:spacing w:after="0" w:line="322" w:lineRule="atLeast"/>
        <w:rPr>
          <w:rFonts w:ascii="Calibri" w:hAnsi="Calibri" w:cs="Calibri"/>
          <w:color w:val="000000"/>
          <w:sz w:val="28"/>
          <w:szCs w:val="28"/>
          <w:lang w:val="en-US" w:eastAsia="ru-RU"/>
        </w:rPr>
      </w:pPr>
    </w:p>
    <w:p w:rsidR="003160BA" w:rsidRPr="003160BA" w:rsidRDefault="003160BA" w:rsidP="003160BA">
      <w:pPr>
        <w:spacing w:after="0" w:line="322" w:lineRule="atLeast"/>
        <w:rPr>
          <w:rFonts w:ascii="Calibri" w:hAnsi="Calibri" w:cs="Calibri"/>
          <w:color w:val="000000"/>
          <w:sz w:val="28"/>
          <w:szCs w:val="28"/>
          <w:lang w:val="en-US" w:eastAsia="ru-RU"/>
        </w:rPr>
      </w:pPr>
    </w:p>
    <w:p w:rsidR="003160BA" w:rsidRPr="003160BA" w:rsidRDefault="003160BA" w:rsidP="003160BA">
      <w:pPr>
        <w:spacing w:after="0" w:line="322" w:lineRule="atLeast"/>
        <w:rPr>
          <w:rFonts w:ascii="Calibri" w:hAnsi="Calibri" w:cs="Calibri"/>
          <w:color w:val="000000"/>
          <w:sz w:val="28"/>
          <w:szCs w:val="28"/>
          <w:lang w:val="en-US" w:eastAsia="ru-RU"/>
        </w:rPr>
      </w:pPr>
    </w:p>
    <w:p w:rsidR="003160BA" w:rsidRPr="003160BA" w:rsidRDefault="003160BA" w:rsidP="003160BA">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METHODICAL DEVELOPMENT OF PRACTICAL LESSON</w:t>
      </w:r>
    </w:p>
    <w:p w:rsidR="003160BA" w:rsidRPr="003160BA" w:rsidRDefault="003160BA" w:rsidP="003160BA">
      <w:pPr>
        <w:spacing w:after="0" w:line="240" w:lineRule="auto"/>
        <w:jc w:val="both"/>
        <w:rPr>
          <w:rFonts w:ascii="Calibri" w:hAnsi="Calibri" w:cs="Calibri"/>
          <w:color w:val="000000"/>
          <w:sz w:val="28"/>
          <w:szCs w:val="28"/>
          <w:lang w:val="en-US" w:eastAsia="ru-RU"/>
        </w:rPr>
      </w:pPr>
    </w:p>
    <w:p w:rsidR="003160BA" w:rsidRPr="003160BA" w:rsidRDefault="003160BA" w:rsidP="003160BA">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Course: </w:t>
      </w:r>
      <w:r w:rsidRPr="003160BA">
        <w:rPr>
          <w:rFonts w:ascii="Times New Roman" w:hAnsi="Times New Roman"/>
          <w:color w:val="000000"/>
          <w:sz w:val="28"/>
          <w:szCs w:val="28"/>
          <w:u w:val="single"/>
          <w:lang w:val="en-US" w:eastAsia="ru-RU"/>
        </w:rPr>
        <w:t>5</w:t>
      </w:r>
      <w:r w:rsidRPr="003160BA">
        <w:rPr>
          <w:rFonts w:ascii="Times New Roman" w:hAnsi="Times New Roman"/>
          <w:color w:val="000000"/>
          <w:sz w:val="28"/>
          <w:szCs w:val="28"/>
          <w:lang w:val="en-US" w:eastAsia="ru-RU"/>
        </w:rPr>
        <w:t xml:space="preserve">Faculty: </w:t>
      </w:r>
      <w:r w:rsidRPr="003160BA">
        <w:rPr>
          <w:rFonts w:ascii="Times New Roman" w:hAnsi="Times New Roman"/>
          <w:color w:val="000000"/>
          <w:sz w:val="28"/>
          <w:szCs w:val="28"/>
          <w:u w:val="single"/>
          <w:lang w:val="en-US" w:eastAsia="ru-RU"/>
        </w:rPr>
        <w:t>Pharmaceutical</w:t>
      </w:r>
    </w:p>
    <w:p w:rsidR="003160BA" w:rsidRPr="003160BA" w:rsidRDefault="003160BA" w:rsidP="003160BA">
      <w:pPr>
        <w:spacing w:after="0" w:line="240" w:lineRule="auto"/>
        <w:jc w:val="center"/>
        <w:rPr>
          <w:rFonts w:ascii="Calibri" w:hAnsi="Calibri" w:cs="Calibri"/>
          <w:color w:val="000000"/>
          <w:sz w:val="28"/>
          <w:szCs w:val="28"/>
          <w:lang w:val="en-US" w:eastAsia="ru-RU"/>
        </w:rPr>
      </w:pPr>
    </w:p>
    <w:p w:rsidR="003160BA" w:rsidRPr="003160BA" w:rsidRDefault="003160BA" w:rsidP="003160BA">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Course Biopharmacy</w:t>
      </w:r>
    </w:p>
    <w:p w:rsidR="003160BA" w:rsidRPr="003160BA" w:rsidRDefault="003160BA" w:rsidP="003160BA">
      <w:pPr>
        <w:spacing w:after="0" w:line="240" w:lineRule="auto"/>
        <w:jc w:val="both"/>
        <w:rPr>
          <w:rFonts w:ascii="Calibri" w:hAnsi="Calibri" w:cs="Calibri"/>
          <w:color w:val="000000"/>
          <w:sz w:val="28"/>
          <w:szCs w:val="28"/>
          <w:lang w:val="en-US" w:eastAsia="ru-RU"/>
        </w:rPr>
      </w:pPr>
    </w:p>
    <w:p w:rsidR="003160BA" w:rsidRPr="003160BA" w:rsidRDefault="003160BA" w:rsidP="003160BA">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Practical lesson №1 Topic: " </w:t>
      </w:r>
      <w:r w:rsidRPr="003160BA">
        <w:rPr>
          <w:rFonts w:ascii="Times New Roman" w:hAnsi="Times New Roman"/>
          <w:b/>
          <w:bCs/>
          <w:color w:val="000000"/>
          <w:sz w:val="28"/>
          <w:szCs w:val="28"/>
          <w:lang w:val="en-US" w:eastAsia="ru-RU"/>
        </w:rPr>
        <w:t>Biopharmacy as a scientific and educational discipline. Subject and tasks of biopharmacy. The main indicators of bioavailability of drugs. Factors that affect the bioavailability of drugs. "</w:t>
      </w:r>
    </w:p>
    <w:p w:rsidR="003160BA" w:rsidRPr="003160BA" w:rsidRDefault="003160BA" w:rsidP="003160BA">
      <w:pPr>
        <w:spacing w:after="0" w:line="322" w:lineRule="atLeast"/>
        <w:jc w:val="both"/>
        <w:rPr>
          <w:rFonts w:ascii="Calibri" w:hAnsi="Calibri" w:cs="Calibri"/>
          <w:color w:val="000000"/>
          <w:sz w:val="28"/>
          <w:szCs w:val="28"/>
          <w:lang w:val="en-US" w:eastAsia="ru-RU"/>
        </w:rPr>
      </w:pPr>
    </w:p>
    <w:p w:rsidR="003160BA" w:rsidRPr="003160BA" w:rsidRDefault="003160BA" w:rsidP="003160BA">
      <w:pPr>
        <w:spacing w:after="0" w:line="322" w:lineRule="atLeast"/>
        <w:rPr>
          <w:rFonts w:ascii="Calibri" w:hAnsi="Calibri" w:cs="Calibri"/>
          <w:color w:val="000000"/>
          <w:sz w:val="28"/>
          <w:szCs w:val="28"/>
          <w:lang w:val="en-US" w:eastAsia="ru-RU"/>
        </w:rPr>
      </w:pPr>
    </w:p>
    <w:p w:rsidR="003160BA" w:rsidRPr="003160BA" w:rsidRDefault="003160BA" w:rsidP="003160BA">
      <w:pPr>
        <w:spacing w:after="0" w:line="322" w:lineRule="atLeast"/>
        <w:rPr>
          <w:rFonts w:ascii="Calibri" w:hAnsi="Calibri" w:cs="Calibri"/>
          <w:color w:val="000000"/>
          <w:sz w:val="28"/>
          <w:szCs w:val="28"/>
          <w:lang w:val="en-US" w:eastAsia="ru-RU"/>
        </w:rPr>
      </w:pPr>
    </w:p>
    <w:p w:rsidR="003160BA" w:rsidRPr="003160BA" w:rsidRDefault="003160BA" w:rsidP="003160BA">
      <w:pPr>
        <w:spacing w:after="0" w:line="322" w:lineRule="atLeast"/>
        <w:jc w:val="center"/>
        <w:rPr>
          <w:rFonts w:ascii="Calibri" w:hAnsi="Calibri" w:cs="Calibri"/>
          <w:color w:val="000000"/>
          <w:sz w:val="28"/>
          <w:szCs w:val="28"/>
          <w:lang w:val="en-US" w:eastAsia="ru-RU"/>
        </w:rPr>
      </w:pPr>
    </w:p>
    <w:p w:rsidR="003160BA" w:rsidRPr="003160BA" w:rsidRDefault="003160BA" w:rsidP="003160BA">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424231" w:rsidRPr="005A59BB" w:rsidRDefault="00424231" w:rsidP="00424231">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424231" w:rsidRPr="005A59BB" w:rsidRDefault="002915A7" w:rsidP="00424231">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10">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424231">
        <w:rPr>
          <w:rFonts w:ascii="Times New Roman" w:hAnsi="Times New Roman"/>
          <w:color w:val="000000"/>
          <w:sz w:val="28"/>
          <w:szCs w:val="28"/>
          <w:lang w:val="en-US" w:eastAsia="ru-RU"/>
        </w:rPr>
        <w:t>(Fizor. N.S.</w:t>
      </w:r>
      <w:r w:rsidR="00424231" w:rsidRPr="005A59BB">
        <w:rPr>
          <w:rFonts w:ascii="Times New Roman" w:hAnsi="Times New Roman"/>
          <w:color w:val="000000"/>
          <w:sz w:val="28"/>
          <w:szCs w:val="28"/>
          <w:lang w:val="en-US" w:eastAsia="ru-RU"/>
        </w:rPr>
        <w:t>)</w:t>
      </w:r>
    </w:p>
    <w:p w:rsidR="00424231" w:rsidRPr="005A59BB" w:rsidRDefault="00424231" w:rsidP="00424231">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3160BA" w:rsidRPr="003160BA" w:rsidRDefault="003160BA" w:rsidP="003160BA">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424231" w:rsidRPr="005A59BB" w:rsidRDefault="00881423" w:rsidP="00424231">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424231" w:rsidRPr="005A59BB">
        <w:rPr>
          <w:rFonts w:ascii="Times New Roman" w:hAnsi="Times New Roman"/>
          <w:color w:val="000000"/>
          <w:sz w:val="28"/>
          <w:szCs w:val="28"/>
          <w:lang w:val="en-US" w:eastAsia="ru-RU"/>
        </w:rPr>
        <w:t>»</w:t>
      </w:r>
      <w:r w:rsidR="00424231">
        <w:rPr>
          <w:rFonts w:ascii="Times New Roman" w:hAnsi="Times New Roman"/>
          <w:color w:val="000000"/>
          <w:sz w:val="28"/>
          <w:szCs w:val="28"/>
          <w:lang w:val="en-US" w:eastAsia="ru-RU"/>
        </w:rPr>
        <w:t xml:space="preserve"> a</w:t>
      </w:r>
      <w:r w:rsidR="00424231"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424231">
        <w:rPr>
          <w:rFonts w:ascii="Times New Roman" w:hAnsi="Times New Roman"/>
          <w:color w:val="000000"/>
          <w:sz w:val="28"/>
          <w:szCs w:val="28"/>
          <w:lang w:val="en-US" w:eastAsia="ru-RU"/>
        </w:rPr>
        <w:t>y.</w:t>
      </w:r>
    </w:p>
    <w:p w:rsidR="003160BA" w:rsidRPr="003160BA" w:rsidRDefault="003160BA" w:rsidP="003160BA">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sidR="00424231">
        <w:rPr>
          <w:rFonts w:ascii="Times New Roman" w:hAnsi="Times New Roman"/>
          <w:color w:val="000000"/>
          <w:sz w:val="28"/>
          <w:szCs w:val="28"/>
          <w:lang w:val="en-US" w:eastAsia="ru-RU"/>
        </w:rPr>
        <w:t xml:space="preserve"> 1</w:t>
      </w:r>
    </w:p>
    <w:p w:rsidR="003160BA" w:rsidRPr="003160BA" w:rsidRDefault="003160BA" w:rsidP="003160BA">
      <w:pPr>
        <w:spacing w:after="0" w:line="322" w:lineRule="atLeast"/>
        <w:ind w:firstLine="5103"/>
        <w:jc w:val="both"/>
        <w:rPr>
          <w:rFonts w:ascii="Calibri" w:hAnsi="Calibri" w:cs="Calibri"/>
          <w:color w:val="000000"/>
          <w:sz w:val="28"/>
          <w:szCs w:val="28"/>
          <w:lang w:val="en-US" w:eastAsia="ru-RU"/>
        </w:rPr>
      </w:pPr>
    </w:p>
    <w:p w:rsidR="003160BA" w:rsidRPr="003160BA" w:rsidRDefault="003160BA" w:rsidP="003160BA">
      <w:pPr>
        <w:spacing w:after="0" w:line="322" w:lineRule="atLeast"/>
        <w:ind w:firstLine="5812"/>
        <w:jc w:val="both"/>
        <w:rPr>
          <w:rFonts w:ascii="Calibri" w:hAnsi="Calibri" w:cs="Calibri"/>
          <w:color w:val="000000"/>
          <w:sz w:val="28"/>
          <w:szCs w:val="28"/>
          <w:lang w:val="en-US" w:eastAsia="ru-RU"/>
        </w:rPr>
      </w:pPr>
    </w:p>
    <w:p w:rsidR="003160BA" w:rsidRPr="003160BA" w:rsidRDefault="003160BA" w:rsidP="003160BA">
      <w:pPr>
        <w:spacing w:after="0" w:line="322" w:lineRule="atLeast"/>
        <w:ind w:firstLine="5812"/>
        <w:jc w:val="both"/>
        <w:rPr>
          <w:rFonts w:ascii="Calibri" w:hAnsi="Calibri" w:cs="Calibri"/>
          <w:color w:val="000000"/>
          <w:sz w:val="28"/>
          <w:szCs w:val="28"/>
          <w:lang w:val="en-US" w:eastAsia="ru-RU"/>
        </w:rPr>
      </w:pPr>
    </w:p>
    <w:p w:rsidR="005A1476" w:rsidRDefault="005A1476" w:rsidP="003160BA">
      <w:pPr>
        <w:spacing w:after="0" w:line="322" w:lineRule="atLeast"/>
        <w:jc w:val="both"/>
        <w:rPr>
          <w:rFonts w:ascii="Times New Roman" w:hAnsi="Times New Roman"/>
          <w:color w:val="000000"/>
          <w:sz w:val="28"/>
          <w:szCs w:val="28"/>
          <w:lang w:val="en-US" w:eastAsia="ru-RU"/>
        </w:rPr>
      </w:pPr>
    </w:p>
    <w:p w:rsidR="005A1476" w:rsidRDefault="005A1476" w:rsidP="003160BA">
      <w:pPr>
        <w:spacing w:after="0" w:line="322" w:lineRule="atLeast"/>
        <w:jc w:val="both"/>
        <w:rPr>
          <w:rFonts w:ascii="Calibri" w:hAnsi="Calibri" w:cs="Calibri"/>
          <w:color w:val="000000"/>
          <w:sz w:val="28"/>
          <w:szCs w:val="28"/>
          <w:lang w:val="en-US" w:eastAsia="ru-RU"/>
        </w:rPr>
      </w:pPr>
    </w:p>
    <w:p w:rsidR="00424231" w:rsidRPr="003160BA" w:rsidRDefault="00424231" w:rsidP="003160BA">
      <w:pPr>
        <w:spacing w:after="0" w:line="322" w:lineRule="atLeast"/>
        <w:jc w:val="both"/>
        <w:rPr>
          <w:rFonts w:ascii="Calibri" w:hAnsi="Calibri" w:cs="Calibri"/>
          <w:color w:val="000000"/>
          <w:sz w:val="28"/>
          <w:szCs w:val="28"/>
          <w:lang w:val="en-US" w:eastAsia="ru-RU"/>
        </w:rPr>
      </w:pPr>
    </w:p>
    <w:p w:rsidR="003160BA" w:rsidRPr="003160BA" w:rsidRDefault="005A1476" w:rsidP="00424231">
      <w:pPr>
        <w:spacing w:after="0" w:line="322" w:lineRule="atLeast"/>
        <w:jc w:val="center"/>
        <w:rPr>
          <w:rFonts w:ascii="Times New Roman" w:hAnsi="Times New Roman"/>
          <w:color w:val="000000"/>
          <w:sz w:val="28"/>
          <w:szCs w:val="28"/>
          <w:lang w:val="en-US" w:eastAsia="ru-RU"/>
        </w:rPr>
      </w:pPr>
      <w:r>
        <w:rPr>
          <w:rFonts w:ascii="Times New Roman" w:hAnsi="Times New Roman"/>
          <w:color w:val="000000"/>
          <w:sz w:val="28"/>
          <w:szCs w:val="28"/>
          <w:lang w:val="en-US" w:eastAsia="ru-RU"/>
        </w:rPr>
        <w:lastRenderedPageBreak/>
        <w:t>Ode</w:t>
      </w:r>
      <w:r w:rsidR="003160BA" w:rsidRPr="003160BA">
        <w:rPr>
          <w:rFonts w:ascii="Times New Roman" w:hAnsi="Times New Roman"/>
          <w:color w:val="000000"/>
          <w:sz w:val="28"/>
          <w:szCs w:val="28"/>
          <w:lang w:val="en-US" w:eastAsia="ru-RU"/>
        </w:rPr>
        <w:t>sa – 202</w:t>
      </w:r>
      <w:r w:rsidR="00881423">
        <w:rPr>
          <w:rFonts w:ascii="Times New Roman" w:hAnsi="Times New Roman"/>
          <w:color w:val="000000"/>
          <w:sz w:val="28"/>
          <w:szCs w:val="28"/>
          <w:lang w:val="en-US" w:eastAsia="ru-RU"/>
        </w:rPr>
        <w:t>2</w:t>
      </w:r>
      <w:bookmarkStart w:id="0" w:name="_GoBack"/>
      <w:bookmarkEnd w:id="0"/>
      <w:r w:rsidR="003160BA" w:rsidRPr="003160BA">
        <w:rPr>
          <w:rFonts w:ascii="Times New Roman" w:hAnsi="Times New Roman"/>
          <w:color w:val="000000"/>
          <w:sz w:val="28"/>
          <w:szCs w:val="28"/>
          <w:lang w:val="en-US" w:eastAsia="ru-RU"/>
        </w:rPr>
        <w:br w:type="page"/>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lastRenderedPageBreak/>
        <w:t xml:space="preserve">Purpose: </w:t>
      </w:r>
      <w:r w:rsidRPr="003160BA">
        <w:rPr>
          <w:rFonts w:ascii="Times New Roman" w:hAnsi="Times New Roman"/>
          <w:color w:val="000000"/>
          <w:sz w:val="28"/>
          <w:szCs w:val="28"/>
          <w:lang w:val="en-US" w:eastAsia="ru-RU"/>
        </w:rPr>
        <w:t>Substantiation of the purpose and objectives of biopharmacy, history of its origin, basic terms and concepts, the concept of therapeutic inequivalence of drugs, purpose and objectives of biopharmacy as a new scientific field, as well as the definition of biopharmaceutical factors and their role in creating new drugs.</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Basic concepts: </w:t>
      </w:r>
      <w:r w:rsidRPr="003160BA">
        <w:rPr>
          <w:rFonts w:ascii="Times New Roman" w:hAnsi="Times New Roman"/>
          <w:color w:val="000000"/>
          <w:sz w:val="28"/>
          <w:szCs w:val="28"/>
          <w:lang w:val="en-US" w:eastAsia="ru-RU"/>
        </w:rPr>
        <w:t>Biopharmacy, Bioavailability, Minimum effective concentration, Minimum toxic concentration, AUCA.</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Equipment: </w:t>
      </w:r>
      <w:r w:rsidRPr="003160BA">
        <w:rPr>
          <w:rFonts w:ascii="Times New Roman" w:hAnsi="Times New Roman"/>
          <w:color w:val="000000"/>
          <w:sz w:val="28"/>
          <w:szCs w:val="28"/>
          <w:lang w:val="en-US" w:eastAsia="ru-RU"/>
        </w:rPr>
        <w:t>according to the requirements of Good Pharmacy Practice (GPP).</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Study time: 4.0</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Plan</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 Organizational moment.</w:t>
      </w:r>
    </w:p>
    <w:p w:rsidR="003160BA" w:rsidRPr="003160BA" w:rsidRDefault="003160BA" w:rsidP="00A7172B">
      <w:pPr>
        <w:spacing w:after="0" w:line="240" w:lineRule="auto"/>
        <w:jc w:val="both"/>
        <w:rPr>
          <w:rFonts w:ascii="Calibri" w:hAnsi="Calibri" w:cs="Calibri"/>
          <w:color w:val="000000"/>
          <w:sz w:val="28"/>
          <w:szCs w:val="28"/>
          <w:lang w:val="en-US" w:eastAsia="ru-RU"/>
        </w:rPr>
      </w:pP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ІІ. Control of basic knowledge</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Requirements for theoretical knowledge:</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Biopharmacy</w:t>
      </w:r>
      <w:r w:rsidRPr="003160BA">
        <w:rPr>
          <w:rFonts w:ascii="Times New Roman" w:hAnsi="Times New Roman"/>
          <w:color w:val="000000"/>
          <w:sz w:val="28"/>
          <w:szCs w:val="28"/>
          <w:lang w:val="en-US" w:eastAsia="ru-RU"/>
        </w:rPr>
        <w:t>is a science that studies the dependence of the therapeutic effect of drugs on the body from various factors (pharmaceutical, biological, etc.).</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Biopharmacy is a scientific discipline of pharmacy that studies the effect of physical and physicochemical properties of active and excipients in drugs produced in different dosage forms, but in the same doses on their therapeutic effect.</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emergence of biopharmacy was prepared throughout the progressive development of pharmacy, medicine, chemistry and other sciences. It is at the junction of several branches of knowledge and biopharmacy originates.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It appeared after establishing the facts of therapeutic non-equivalence of drugs, ie drugs of the same composition, but prepared by different pharmaceutical companies, differed in therapeutic efficacy. This was due to a number of reasons: the degree of grinding of drugs, the selection of excipients and the difference in technological processes, the so-called pharmaceutical factors. In the special literature, the term "pharmaceutical factors" has become widespread, primarily in connection with the clinical confirmation of experimental data on the existence of a relationship between the effectiveness of drugs and methods of obtaining them.</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founders of biopharmacy are considered to be the American scientists Levy and Wagner, thanks to whose work the term "biopharmacy" was adopted, which is used in most European countries as the equivalent of the English term "biopharmaceuticals".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term "biopharmacy" first appeared in scientific pharmacy in the United States in the 60s of the 20th century and soon gained general international recognition.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The word "pharmaceutics", used in English literature, is not synonymous with "pharmacy", its designation - galenic pharmacy. The literal translation of </w:t>
      </w:r>
      <w:r w:rsidRPr="003160BA">
        <w:rPr>
          <w:rFonts w:ascii="Times New Roman" w:hAnsi="Times New Roman"/>
          <w:color w:val="000000"/>
          <w:sz w:val="28"/>
          <w:szCs w:val="28"/>
          <w:lang w:val="en-US" w:eastAsia="ru-RU"/>
        </w:rPr>
        <w:lastRenderedPageBreak/>
        <w:t>"biopharmaceuticals" and the adjective "biopharmaceutical" formed from it are the terms "biogalenics" and "biogalenic".</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addition of the prefix "bio" to the term "pharmaceutics" does not mean that we are talking about the biological evaluation of products of galenic pharmacy, or about biological pharmacy in general.</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 this short word, biopharmacy successfully and quite fully defines the complex of dependencies that link the drug substance and the therapeutic effect of the prepared drug.</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Bioavailability (DB) is the part of the administered drug that enters the systemic bloodstream by oral, intramuscular, inhalation and other routes of administration. It is obvious that with intravascular administration the DB of the substance will be equal to 100%, and with other routes of administration (oral, rectal, intramuscular, etc.) - much lower and almost never reaches 100%.</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According to the WHO recommendations, the measure of bioavailability is the ratio (in percent) of the amount of absorption of the drug administered in the test dosage form (A) to the amount of absorption of the same drug administered in the same dose but in the standard dosage form (B ), ie DB = (A: B) ∙ 100. Most often, the bioavailability of drugs is determined by a comparative study of changes in the concentration of the drug in plasma when prescribing the study and standard dosage forms.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When studying the bioavailability of drugs, the most important are the following parameters:</w:t>
      </w:r>
    </w:p>
    <w:p w:rsidR="003160BA" w:rsidRPr="003160BA" w:rsidRDefault="003160BA" w:rsidP="00A7172B">
      <w:pPr>
        <w:numPr>
          <w:ilvl w:val="0"/>
          <w:numId w:val="1"/>
        </w:numPr>
        <w:spacing w:after="0" w:line="240" w:lineRule="auto"/>
        <w:ind w:left="0"/>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maximum (peak) concentration of the drug in the blood;</w:t>
      </w:r>
    </w:p>
    <w:p w:rsidR="003160BA" w:rsidRPr="003160BA" w:rsidRDefault="003160BA" w:rsidP="00A7172B">
      <w:pPr>
        <w:numPr>
          <w:ilvl w:val="0"/>
          <w:numId w:val="1"/>
        </w:numPr>
        <w:spacing w:after="0" w:line="240" w:lineRule="auto"/>
        <w:ind w:left="0"/>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time to reach maximum concentration;</w:t>
      </w:r>
    </w:p>
    <w:p w:rsidR="003160BA" w:rsidRPr="003160BA" w:rsidRDefault="003160BA" w:rsidP="00A7172B">
      <w:pPr>
        <w:numPr>
          <w:ilvl w:val="0"/>
          <w:numId w:val="1"/>
        </w:numPr>
        <w:spacing w:after="0" w:line="240" w:lineRule="auto"/>
        <w:ind w:left="0"/>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area under the curve of change in the concentration of the drug in plasma or serum over time.</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main parameters of pharmacokinetics used in the study of bioavailability of drugs are presented in Fig. 1.</w:t>
      </w:r>
    </w:p>
    <w:p w:rsidR="003160BA" w:rsidRPr="003160BA" w:rsidRDefault="00E70A21" w:rsidP="00A7172B">
      <w:pPr>
        <w:spacing w:after="0" w:line="240" w:lineRule="auto"/>
        <w:ind w:firstLine="720"/>
        <w:jc w:val="center"/>
        <w:rPr>
          <w:rFonts w:ascii="Calibri" w:hAnsi="Calibri" w:cs="Calibri"/>
          <w:color w:val="000000"/>
          <w:sz w:val="28"/>
          <w:szCs w:val="28"/>
          <w:lang w:val="en-US" w:eastAsia="ru-RU"/>
        </w:rPr>
      </w:pPr>
      <w:r w:rsidRPr="00E70A21">
        <w:rPr>
          <w:rFonts w:ascii="Times New Roman" w:hAnsi="Times New Roman"/>
          <w:noProof/>
          <w:color w:val="000000"/>
          <w:sz w:val="27"/>
          <w:szCs w:val="27"/>
          <w:lang w:eastAsia="ru-RU"/>
        </w:rPr>
        <w:drawing>
          <wp:inline distT="0" distB="0" distL="0" distR="0">
            <wp:extent cx="3101340" cy="1303020"/>
            <wp:effectExtent l="0" t="0" r="0" b="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101340" cy="1303020"/>
                    </a:xfrm>
                    <a:prstGeom prst="rect">
                      <a:avLst/>
                    </a:prstGeom>
                    <a:noFill/>
                    <a:ln>
                      <a:noFill/>
                    </a:ln>
                  </pic:spPr>
                </pic:pic>
              </a:graphicData>
            </a:graphic>
          </wp:inline>
        </w:drawing>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Fig.1. The main parameters of pharmacokinetics used in the study of bioavailability of drugs.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1 - maximum concentration (C);</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2 - peak;</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3 - time (t) to reach maximum concentration;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4 - area under the curve "concentration ■ - time".</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The practical value of the concentration peak is well illustrated in Fig. 2, in which two curves depict the kinetics of the concentration in the blood of the same </w:t>
      </w:r>
      <w:r w:rsidRPr="003160BA">
        <w:rPr>
          <w:rFonts w:ascii="Times New Roman" w:hAnsi="Times New Roman"/>
          <w:color w:val="000000"/>
          <w:sz w:val="28"/>
          <w:szCs w:val="28"/>
          <w:lang w:val="en-US" w:eastAsia="ru-RU"/>
        </w:rPr>
        <w:lastRenderedPageBreak/>
        <w:t>substance contained in different dosage forms (A and B). The horizontal line indicates the minimum effective concentration (IEC) at which this substance has a therapeutic effect (4 μg / ml). It is seen that in dosage form B, the drug substance, although completely absorbed, but does not have a therapeutic effect,</w:t>
      </w:r>
      <w:r w:rsidR="001F03B3">
        <w:rPr>
          <w:rFonts w:ascii="Times New Roman" w:hAnsi="Times New Roman"/>
          <w:color w:val="000000"/>
          <w:sz w:val="28"/>
          <w:szCs w:val="28"/>
          <w:lang w:val="en-US" w:eastAsia="ru-RU"/>
        </w:rPr>
        <w:t xml:space="preserve"> because it does not reach the M</w:t>
      </w:r>
      <w:r w:rsidRPr="003160BA">
        <w:rPr>
          <w:rFonts w:ascii="Times New Roman" w:hAnsi="Times New Roman"/>
          <w:color w:val="000000"/>
          <w:sz w:val="28"/>
          <w:szCs w:val="28"/>
          <w:lang w:val="en-US" w:eastAsia="ru-RU"/>
        </w:rPr>
        <w:t>EC.</w:t>
      </w:r>
    </w:p>
    <w:p w:rsidR="003160BA" w:rsidRPr="003160BA" w:rsidRDefault="00E70A21" w:rsidP="00A7172B">
      <w:pPr>
        <w:spacing w:after="0" w:line="240" w:lineRule="auto"/>
        <w:jc w:val="center"/>
        <w:rPr>
          <w:rFonts w:ascii="Calibri" w:hAnsi="Calibri" w:cs="Calibri"/>
          <w:color w:val="000000"/>
          <w:sz w:val="28"/>
          <w:szCs w:val="28"/>
          <w:lang w:val="en-US" w:eastAsia="ru-RU"/>
        </w:rPr>
      </w:pPr>
      <w:r w:rsidRPr="00E70A21">
        <w:rPr>
          <w:rFonts w:ascii="Times New Roman" w:hAnsi="Times New Roman"/>
          <w:noProof/>
          <w:color w:val="000000"/>
          <w:sz w:val="27"/>
          <w:szCs w:val="27"/>
          <w:lang w:eastAsia="ru-RU"/>
        </w:rPr>
        <w:drawing>
          <wp:inline distT="0" distB="0" distL="0" distR="0">
            <wp:extent cx="3154680" cy="1447800"/>
            <wp:effectExtent l="0" t="0" r="0" b="0"/>
            <wp:docPr id="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154680" cy="1447800"/>
                    </a:xfrm>
                    <a:prstGeom prst="rect">
                      <a:avLst/>
                    </a:prstGeom>
                    <a:noFill/>
                    <a:ln>
                      <a:noFill/>
                    </a:ln>
                  </pic:spPr>
                </pic:pic>
              </a:graphicData>
            </a:graphic>
          </wp:inline>
        </w:drawing>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Fig. 2. The dynamics of the concentration (C) of the drug after its use in two dosage forms: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1 - dosage form A; 2 - dosage form B;</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 is the peak concentration of the drug substance; IEC - the minimum effective concentration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 small. 3 shows the kinetics of a drug substance having an IEC b μg / ml and a minimum toxic concentration (MTC) of 8 μg / ml, when used in two dosage forms A and B. When using dosage form A, the concentration of the substance exceeds the ITC, and therefore it has a toxic effect. When using dosage form B, the drug substance is contained in the blood in therapeutic concentrations, but does not reach toxic concentrations and does not have a harmful effect on the body.</w:t>
      </w:r>
    </w:p>
    <w:p w:rsidR="003160BA" w:rsidRPr="003160BA" w:rsidRDefault="00E70A21" w:rsidP="00A7172B">
      <w:pPr>
        <w:spacing w:after="0" w:line="240" w:lineRule="auto"/>
        <w:ind w:firstLine="567"/>
        <w:jc w:val="center"/>
        <w:rPr>
          <w:rFonts w:ascii="Calibri" w:hAnsi="Calibri" w:cs="Calibri"/>
          <w:color w:val="000000"/>
          <w:sz w:val="28"/>
          <w:szCs w:val="28"/>
          <w:lang w:val="en-US" w:eastAsia="ru-RU"/>
        </w:rPr>
      </w:pPr>
      <w:r w:rsidRPr="00E70A21">
        <w:rPr>
          <w:rFonts w:ascii="Times New Roman" w:hAnsi="Times New Roman"/>
          <w:noProof/>
          <w:color w:val="000000"/>
          <w:sz w:val="27"/>
          <w:szCs w:val="27"/>
          <w:lang w:eastAsia="ru-RU"/>
        </w:rPr>
        <w:drawing>
          <wp:inline distT="0" distB="0" distL="0" distR="0">
            <wp:extent cx="3208020" cy="1501140"/>
            <wp:effectExtent l="0" t="0" r="0" b="0"/>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208020" cy="1501140"/>
                    </a:xfrm>
                    <a:prstGeom prst="rect">
                      <a:avLst/>
                    </a:prstGeom>
                    <a:noFill/>
                    <a:ln>
                      <a:noFill/>
                    </a:ln>
                  </pic:spPr>
                </pic:pic>
              </a:graphicData>
            </a:graphic>
          </wp:inline>
        </w:drawing>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Fig. 3. Determination of the minimum toxic concentration (ITC) and the minimum effective concentration (IEC) of the drug by the dynamics of its concentration in the blood when used in two dosage forms (A and B):</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1 - dosage form A;</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2 - dosage form B;</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 is the peak concentration of the drug substance; AUCA = 34.4 (μg / ml) -year, AUCB = 34.2 (μg / ml) -year</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The second important parameter is the time to reach the maximum concentration of the substance in the biological fluid P, as it reflects the rate of absorption of the substance and the rate of onset of therapeutic effect. From fig. 3. it follows that P when using dosage form A is achieved after 1 hour, and in dosage form B - after 4 hours. Suppose that in this case the drug is a hypnotic. It reaches the minimum </w:t>
      </w:r>
      <w:r w:rsidRPr="003160BA">
        <w:rPr>
          <w:rFonts w:ascii="Times New Roman" w:hAnsi="Times New Roman"/>
          <w:color w:val="000000"/>
          <w:sz w:val="28"/>
          <w:szCs w:val="28"/>
          <w:lang w:val="en-US" w:eastAsia="ru-RU"/>
        </w:rPr>
        <w:lastRenderedPageBreak/>
        <w:t>therapeutic concentration and has a soporific effect in the first case after 30 minutes, and in the second case - only after 2 hours. At the same time, the effect of the hypnotic substance in the first case (when using dosage form A) lasts 5.5 hours, in the second case (when using dosage form B) lasts 8 hours.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Thus, taking into account the peculiarities of the pharmacokinetics of the same hypnotic, in different dosage forms differ indications for their use. Dosage form A should be used in case of sleep disturbance, while dosage form B - in case of sleep disturbance.</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Third, the most important parameter of bioavailability is the area under the curve "concentration - time" (AUC), which reflects the amount of drug that entered the blood after a single injection of the drug.</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 small. 3 presents the curves characterizing the bioavailability of two different dosage forms of the same substance. These curves have different shapes, different peaks and different time to reach the IEC. At the same time, the areas under these curves are the same [AUC for dosage form A is 34.4 (μg / ml) -hour, for B - 34.2 (μg / ml) -hour], therefore, both dosage forms provide revenue in blood of the same amount of drug substance. However, they differ in the degree of absorption and the rate of achievement of the IEC of the drug, which has a great influence on both quantitative and qualitative parameters of their therapeutic action, which means that they can not be attributed to bioequivalent drugs. This qualitative characteristic should be taken into account when prescribing and using drugs of similar composition and action, but manufactured by different pharmaceutical companies.</w:t>
      </w:r>
    </w:p>
    <w:p w:rsidR="003160BA" w:rsidRPr="003160BA" w:rsidRDefault="00E70A21" w:rsidP="00A7172B">
      <w:pPr>
        <w:spacing w:after="0" w:line="240" w:lineRule="auto"/>
        <w:jc w:val="center"/>
        <w:rPr>
          <w:rFonts w:ascii="Calibri" w:hAnsi="Calibri" w:cs="Calibri"/>
          <w:color w:val="000000"/>
          <w:sz w:val="28"/>
          <w:szCs w:val="28"/>
          <w:lang w:val="en-US" w:eastAsia="ru-RU"/>
        </w:rPr>
      </w:pPr>
      <w:r w:rsidRPr="00E70A21">
        <w:rPr>
          <w:rFonts w:ascii="Times New Roman" w:hAnsi="Times New Roman"/>
          <w:noProof/>
          <w:color w:val="000000"/>
          <w:sz w:val="27"/>
          <w:szCs w:val="27"/>
          <w:lang w:eastAsia="ru-RU"/>
        </w:rPr>
        <w:drawing>
          <wp:inline distT="0" distB="0" distL="0" distR="0">
            <wp:extent cx="2994660" cy="1379220"/>
            <wp:effectExtent l="0" t="0" r="0" b="0"/>
            <wp:docPr id="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994660" cy="1379220"/>
                    </a:xfrm>
                    <a:prstGeom prst="rect">
                      <a:avLst/>
                    </a:prstGeom>
                    <a:noFill/>
                    <a:ln>
                      <a:noFill/>
                    </a:ln>
                  </pic:spPr>
                </pic:pic>
              </a:graphicData>
            </a:graphic>
          </wp:inline>
        </w:drawing>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Fig. 4. The relative bioavailability of the drug when used in three dosage forms: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1 - dosage form A;</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2 - dosage form B;</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3 - dosage form B; AUCA = 39.9 (μg / ml) -year, AUCB = 32.2 (μg / ml) -year, AUCB = 14.0 (μg / ml) -year</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 small. Figure 4 shows the curves that reflect the kinetics of the same substance when used in three different dosage forms - A, B and B.</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area under the curve that characterizes dosage form A is larger than under curve B and much larger than under curve B. It follows that dosage form A provides absorption into the blood of the drug much better than dosage forms B and B.</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Thus, to compare different generic drugs, dosage forms, to address the issue of replacing the drug with an analogue, it is necessary to take into account the parameters of bioavailability. Differences in the degree of absorption and the rate of reaching the maximum concentration of the drug can have a significant impact not </w:t>
      </w:r>
      <w:r w:rsidRPr="003160BA">
        <w:rPr>
          <w:rFonts w:ascii="Times New Roman" w:hAnsi="Times New Roman"/>
          <w:color w:val="000000"/>
          <w:sz w:val="28"/>
          <w:szCs w:val="28"/>
          <w:lang w:val="en-US" w:eastAsia="ru-RU"/>
        </w:rPr>
        <w:lastRenderedPageBreak/>
        <w:t>only on the quantitative parameters of the therapeutic effect of the drug, but also on its qualitative characteristics.</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Factors affecting the bioavailability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drug immediately enters the systemic bloodstream only when administered intravascularly. With all other methods of administration, this is preceded by a number of different processes. First of all, the drug substance must be released from the dosage form - tablets, capsules, suppositories, etc. The tablets are first destroyed, only then the drug goes into solution. The capsule first dissolves the shell, then releases the drug, which only then passes into solution. When administered as a suspension, the drug substance dissolves under the influence of body fluids (saliva, gastric juice, bile, etc.). The base of the suppositories melts in the rectum, and then the drug becomes capable of dissolving and absorbing. The rate of absorption may decrease and the duration of action may increase if the drug is administered in the form of insoluble complexes, which then disintegrate in the injection area, forming a form soluble in water. An example is benzylpenicillin sodium, protamine-zinc-insulin.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When the drug transitions to a soluble, absorbable form from the injection site, they have yet to cross a number of membranes before entering the capillary bed and entering the systemic circulation. Depending on the place of absorption, penetration into the capillary bed is not always equivalent to entering the systemic bloodstream.</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drug, administered orally or rectally, is absorbed by the capillaries of the gastrointestinal tract (GI tract), and then through the mesenteric veins enters the portal vein and liver. If the drug is rapidly metabolized in the liver, then some of it is converted into metabolites before it is found in the systemic circulation. This position is even more true for drugs that are metabolized in the intestinal lumen, its wall or mesenteric veins. This phenomenon is called presystemic metabolism or first-pass effect (EPP).</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Influence of routes of administration on bioavailability</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Oral route of administration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Most drugs are administered orally, ie by mouth. This way of drug administration is the simplest and most convenient. At the same time, the number of factors that may affect the bioavailability of drugs is the largest in this way of introduction.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Influence of enzymes of the gastrointestinal tract </w:t>
      </w:r>
      <w:r w:rsidRPr="003160BA">
        <w:rPr>
          <w:rFonts w:ascii="Times New Roman" w:hAnsi="Times New Roman"/>
          <w:color w:val="000000"/>
          <w:sz w:val="28"/>
          <w:szCs w:val="28"/>
          <w:lang w:val="en-US" w:eastAsia="ru-RU"/>
        </w:rPr>
        <w:t>. Drugs affect the body differently, depending on when they are taken: before meals, during or after meals, due to changes in the pH of the gastrointestinal tract, the presence of various enzymes and active substances released from the bile to ensure the digestive process .</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During and after meals, the acidic environment of the stomach reaches pH = 2.9 ... 3.0, and the small intestine - 8.0 ... 8.4, which significantly affects the ionization, stability of drugs, the speed of their passage through digestive tract and absorption into the blood. Thus, acetylsalicylic acid at a gastric pH of 1 to 3 is almost completely in non-ionized form and as a result (due to the high solubility in lipids) is almost </w:t>
      </w:r>
      <w:r w:rsidRPr="003160BA">
        <w:rPr>
          <w:rFonts w:ascii="Times New Roman" w:hAnsi="Times New Roman"/>
          <w:color w:val="000000"/>
          <w:sz w:val="28"/>
          <w:szCs w:val="28"/>
          <w:lang w:val="en-US" w:eastAsia="ru-RU"/>
        </w:rPr>
        <w:lastRenderedPageBreak/>
        <w:t>completely absorbed. Taking aspirin with food increases the amount of the drug, which is converted into a salt form, the rate of absorption in the stomach is reduced to values ​​approximately coinciding with the rate of absorption of aspirin in the small intestine, and bioavailability is generally reduced.</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Many drugs taken after a meal can lose or significantly reduce activity by interacting with digestive juices.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Erythromycin, benzylpenicillin, pancreatin, pituitrin, insulin and a number of other drugs are inactivated under the influence of acidic environment and gastric enzymes. Hexamethylenetetramine is completely decomposed into ammonia and formaldehyde. Preparations of cardiac glycosides (lily of the valley, strophanthus, sea onion) are completely destroyed, and the most stable of them - preparations of foxglove - significantly reduced activity under the action of enzymes of the gastrointestinal tract. However, in the presence of proteolytic enzymes, tetracycline and isoniazid are absorbed more rapidly. Gastric juice stimulates the absorption and acetylation (transition to an inactive form) of sulfonamide drugs.</w:t>
      </w:r>
    </w:p>
    <w:p w:rsidR="003160BA" w:rsidRPr="003160BA" w:rsidRDefault="003160BA" w:rsidP="00A7172B">
      <w:pPr>
        <w:spacing w:after="0" w:line="240" w:lineRule="auto"/>
        <w:ind w:firstLine="708"/>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serious obstacle to the absorption of many drugs is mucin, which is released after a meal and covers a thin, highly viscous film of the mucous membranes of the mouth, stomach and intestines. Streptomycin sulfate, atropine sulfate, belladonna preparations, scopolamine hydrobromide, platyphyllinehydrotartrate, antispasmodic, aprofen, metacin form poorly absorbed complexes with mucin.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Bile increases the solubility of some fat-soluble substances (vitamins) and at the same time is able to form sparingly soluble and non-absorbable complexes with neomycin sulfate, polymyxin B sulfate. Bile acids can bind to sodium paraaminosalicylate, activated charcoal, white clay, and so on, and their deficiency leads to impaired absorption of other drugs (diphenine, rifampicin, butadione, etc.).</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Therefore, most orally administered drugs are significantly affected by enzymes and various highly active substances of the gastrointestinal tract, released during and after meals, which can significantly affect their bioavailability.</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Influence of composition and temperature of food </w:t>
      </w:r>
      <w:r w:rsidRPr="003160BA">
        <w:rPr>
          <w:rFonts w:ascii="Times New Roman" w:hAnsi="Times New Roman"/>
          <w:color w:val="000000"/>
          <w:sz w:val="28"/>
          <w:szCs w:val="28"/>
          <w:lang w:val="en-US" w:eastAsia="ru-RU"/>
        </w:rPr>
        <w:t>. The composition and temperature of food have a great influence on the effectiveness of drugs. Ordinary mixed food contains substances of plant, animal and mineral origin: proteins, fats, carbohydrates, amino acids, fatty acids, glycerin, tannins (in tea, persimmons), caffeine (in tea, coffee), serotonin (in nettles, peanuts, bananas) , pineapples), tyramine (in cheese, bananas, beans, herring, coffee, beer, wine, chicken liver), oxalates (in rhubarb, celery, sorrel, spinach), sterols, phytosterols, heavy metal ions and other chemically and pharmacologically active substances. In addition, various food additives are introduced into food: preservatives (sorbic, acetic, citric acid), antioxidants, emulsifiers, dyes, sweeteners, substances that can actively interact with drugs and affect their bioavailability - in some cases increase solubility and absorption drugs, in others, forming insoluble or sparingly soluble complexes (eg, proteins, tannins, dipeptides) with food ingredients, reduce their absorption.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lastRenderedPageBreak/>
        <w:t>Depending on the composition of food in different ways affects the peristalsis and secretory function of the digestive tract, which depends on the degree and rate of absorption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Protein foods (eggs, cheese, milk, peas, beans) reduce the pharmacological effect of digitoxin, quinidine, cimetidine, caffeine, theophylline, tetracycline and penicillin, anticoagulants, cardiac glycosides and sulfonamides.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Fats (especially those containing higher fatty acids) reduce the secretion of gastric juice, slow down the peristalsis of the stomach, which leads to delayed food processes and transportation of food mass. Under the influence of foods rich in fat, the absorption of many drugs is significantly increased, especially fat-soluble, such as anthelmintics, anticoagulants, sulfonamides, griseofulvin, anaprilin, diphenine, fat-soluble vitamins A, D, E, carbamazepine, lithium metro, and lithium, and lithium. . Deficiency in eating fats slows down the metabolism of ethylmorphine hydrochloride. Preliminary intake of fatty foods reduces the activity of salol and besalol.</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presence of a large amount of carbohydrates in food (sugar, candy, jam) slows down the motility of the stomach, delays the absorption of isoniazid, calcium chloride in the intestine. The effect of food carbohydrates can be indirect - through intermediate metabolism.</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Food slows down the absorption of phenoxymethylpenicillin, oxacillin sodium, ampicillin, rifampicin, lincomycin hydrochloride, acetylsalicylic acid, glibenclamide, isoniazid, and others. Sulfur-containing drugs interact with heavy metal ions that are constantly present in food to form insoluble compounds with low bioavailability. The absorption of drugs from the digestive tract is delayed by low-molecular products of hydrolysis of nutrients: glucose, amino acids, fatty acids, glycerin, as well as sterols contained in food. Foods rich in vitamins and minerals have a pronounced effect on drug metabolism. Foods containing ascorbic acid stimulate the function of oxidases, accelerating the metabolism of drugs, and sometimes reduces their toxicity; food containing folic acid accelerates the metabolism of pyridoxine hydrochloride, reduces the effectiveness of levodopa. In patients who eat foods rich in vitamin K (spinach, white cabbage), significantly changes the prothrombin time, as well as the metabolism of anticoagulants, barbiturates, nozepam, phenacetin. The temperature of food also has a certain effect. Very cold (below 7 ° C), as well as excessively hot (above 70 ° C) food and drinks cause digestive disorders. From cold food the excretory function amplifies and acidity of contents of a stomach with the subsequent decrease and weakening of digestive ability of gastric juice increases. Excessively hot food leads to atrophy of the gastric mucosa, accompanied by a sharp decrease in the secretion of enzymes of the gastrointestinal tract. These changes in the secretion of the gastrointestinal tract in turn affect the bioavailability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Influence of the nature of the liquid used for drinking drugs. </w:t>
      </w:r>
      <w:r w:rsidRPr="003160BA">
        <w:rPr>
          <w:rFonts w:ascii="Times New Roman" w:hAnsi="Times New Roman"/>
          <w:color w:val="000000"/>
          <w:sz w:val="28"/>
          <w:szCs w:val="28"/>
          <w:lang w:val="en-US" w:eastAsia="ru-RU"/>
        </w:rPr>
        <w:t xml:space="preserve">The nature of the liquid with which the drug is washed plays a role in the bioavailability of drugs. Often, to mask the unpleasant taste and smell of drugs, use a variety of fruit or </w:t>
      </w:r>
      <w:r w:rsidRPr="003160BA">
        <w:rPr>
          <w:rFonts w:ascii="Times New Roman" w:hAnsi="Times New Roman"/>
          <w:color w:val="000000"/>
          <w:sz w:val="28"/>
          <w:szCs w:val="28"/>
          <w:lang w:val="en-US" w:eastAsia="ru-RU"/>
        </w:rPr>
        <w:lastRenderedPageBreak/>
        <w:t>vegetable juices, tonics, syrups, milk. Most fruit and vegetable juices are acidic and can destroy acid-fast compounds, such as ampicillin sodium, cycloserine, erythromycin, benzylpenicillin potassium salt. Juices can slow down the absorption of ibuprofen, furosemide, enhance the pharmacological effect of adebit, barbiturates, diacarb, nevigramonnitrofurans, salicylates. Fruit juices and beverages contain tannins, which besiege digitoxin, caffeine-sodium benzoate. The tonic drinks "Baikal", "Pepsi-Cola" include iron ions, which in the gastrointestinal tract form insoluble complexes with lincomycin hydrochloride, oleandomycin phosphate, tetracycline hydrochloride, sodium thiosulfate, uniate thiosulfate, uni. Widely used for these purposes, tea and coffee, containing, in addition to caffeine and theophylline, tannin and various tannins and can enhance the pharmacological effect of paracetamol, acetylsalicylic acid, form insoluble compounds with aminazine, atropine sulfate, haloperidol, hydrophilicide and hydrodes. . Therefore, it is not recommended to drink the drugs they take, except for sleeping pills, which drink 1/2 cup of warm, weak and unsweetened tea.</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When sweetening drugs with syrups or milk sugar, the absorption of isoniazid, ibuprofen, calcium chloride, tetracycline hydrochloride, furosemide is sharply slowed down. Some drugs that have an irritating effect on the mucous membrane of the gastrointestinal tract, washed down with milk. Medicines are mixed with milk and dairy products for infants. Milk can change the drug substance and reduce the bioavailability of, for example, benzylpenicillin, cephalexin. A glass of whole milk reduces by 50-60% the concentration in the blood of tetracycline hydrochloride, oxytetracycline and metacycline hydrochloride, having a slightly smaller effect on the absorption of doxycycline hydrochloride. It is not recommended to drink milk with drugs that have acid-resistant coatings (enteric), such as bisacodyl, pancreatin, pancurman, because of the risk of premature dissolution of the protective shell. For the same reason it is inexpedient to wash down the specified preparations with alkaline mineral waters (Borjomi, Luzhanskaya, Svalyava, Smirnovskaya). On the contrary, alkaline mineral waters should be washed down with pancreatin, PAS, salicylates, citramon, phthazine, novocephalin and sulfonamides. The latter are acetylated in the body, and acetylated compounds in a neutral and acidic environment do not dissolve and precipitate in the form of stones. In an alkaline environment, acetylated sulfonamides are in a dissolved state and are easily excreted from the body.</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Children taking drugs mixed with milk can lead to a violation of the accuracy of their dosage. Drink milk those drugs that irritate the surface of the mucous membrane of the gastrointestinal tract, do not change their activity at milk pH (6.4), do not bind to milk proteins and calcium (butadione, indomethacin, prednisolone, reserpine, trichopol, salts potassium, nitrofurans, vibramycin, ethoxide, mefenamic acid, iodine preparations, etc.). Some patients, taking medication, do not drink them at all, which is not recommended, because the capsules, tablets, pills, sticking to certain parts of the inner surface of the esophagus and gastrointestinal tract, are destroyed before </w:t>
      </w:r>
      <w:r w:rsidRPr="003160BA">
        <w:rPr>
          <w:rFonts w:ascii="Times New Roman" w:hAnsi="Times New Roman"/>
          <w:color w:val="000000"/>
          <w:sz w:val="28"/>
          <w:szCs w:val="28"/>
          <w:lang w:val="en-US" w:eastAsia="ru-RU"/>
        </w:rPr>
        <w:lastRenderedPageBreak/>
        <w:t>reaching the site of absorption. In addition, they cause irritation at the site of adhesion, and the lack of sufficient fluid delays their absorption.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Influence of food (diet) </w:t>
      </w:r>
      <w:r w:rsidRPr="003160BA">
        <w:rPr>
          <w:rFonts w:ascii="Times New Roman" w:hAnsi="Times New Roman"/>
          <w:color w:val="000000"/>
          <w:sz w:val="28"/>
          <w:szCs w:val="28"/>
          <w:lang w:val="en-US" w:eastAsia="ru-RU"/>
        </w:rPr>
        <w:t>. In the vast majority of cases, when prescribing drugs, it is necessary to select an appropriate diet so that food components do not change the bioavailability of drugs and do not cause unwanted side effects.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Irrational nutrition during the illness affects the entire course of treatment, can contribute to disease of certain organs and cause relapses. For example, an excess of sodium chloride in food contributes to high blood pressure, animal fats - the development of atherosclerosis, diseases of the digestive system.</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Irrational diet can lead to inactivation of drugs, the formation of complexes, as, for example, in the case of a combination of calcium ions (cheese, yogurt, milk) with tetracyclines. At the same time, eating vegetables and fruits can regulate intestinal function, supplement the deficiency of macro- and microelements, volatile oils, essential oils and aromatic substances that affect the immune status, regulate the secretion of digestive glands, lactation, etc. Potassium deficiency in the body can be filled with dried apricots, raisins, beets, apples, pumpkins, dried fruits. To increase the effectiveness of antianemic drugs can be the use of foods high in iron (strawberries, apricots, apples, beets, pomegranates) in combination with ascorbic acid. In the treatment of inflammatory diseases of the kidneys and urinary tract, the use of watermelons is recommended. The use of low-calorie vegetables (cabbage, carrots, turnips, cucumbers, tomatoes, eggplant, zucchini, etc.) reduces the caloric content of the diet, prevents the absorption of cholesterol, enhances its excretion from the body, helps to empty the intestines. The correct selection of therapeutic nutrition when prescribing drugs can significantly increase their bioavailability, and therefore reduce their dosage, avoid unwanted side effects while maintaining proper effectiveness.</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Rectal route of administration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rectal route of administration of drugs (through the rectum) ensures their rapid absorption (after 7 - 10 minutes). It is used for both local and general action. At a rectal way of administration of medicinal substances in 5-15 min. the minimum therapeutic concentration is created in blood. This is due to the presence in the rectum of a dense network of blood and lymphatic vessels, good absorption of drugs, soluble in both water and fat, through the mucous membrane of the rectum. Substances, absorbed in the lower part of the rectum, through the inferior hemorrhoidal veins enter the systemic bloodstream, bypassing the hepatic barrier. The fact that the rectal route of administration of drugs are not destroyed by the enzyme system of the liver as a result of the "primary effect", significantly increases their bioavailability compared to oral administration.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At a rectal way of introduction bioavailability can be influenced by individual features of blood supply of a rectum, a condition of its mucous membrane (with age at systematic use of laxatives and systematic lack of vegetable fiber in food the functional condition of a mucous membrane worsens). The glands of the mucous </w:t>
      </w:r>
      <w:r w:rsidRPr="003160BA">
        <w:rPr>
          <w:rFonts w:ascii="Times New Roman" w:hAnsi="Times New Roman"/>
          <w:color w:val="000000"/>
          <w:sz w:val="28"/>
          <w:szCs w:val="28"/>
          <w:lang w:val="en-US" w:eastAsia="ru-RU"/>
        </w:rPr>
        <w:lastRenderedPageBreak/>
        <w:t>membrane of the colon secrete a liquid alkaline secretion (pH sometimes exceeds 9). Changes in intestinal pH, as well as changes in gastric pH, significantly affect the degree of ionization and absorption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process of intestinal absorption is influenced by the autonomic nervous system (adrenergic agonists stimulate absorption, and cholinergic antagonists - secretion), endocrine system, biologically active peptides. Endocrine, autonomic nervous and neuropeptide systems also regulate the motor activity of the colon, which, in turn, determines the duration of the drug in the intestine. In addition, a number of diseases of the rectum (hemorrhoids, cracks in the anorectal region, proctitis) impair the bioavailability of drugs administered rectally.</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Inhalation route of drug administration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During the inhalation route of administration, the drug is rapidly absorbed into the systemic bloodstream through the bronchial mucosa without affecting the primary metabolism in the liver. With this route of administration, the bioavailability of drugs may be affected by concomitant diseases of the bronchopulmonary system, smoking (as a factor contributing to the development of chronic bronchitis with appropriate restructuring of the bronchial wall structure), and circulatory status in the bronchopulmonary system.</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Influence of body temperature and environment</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Body temperature and environment have a significant impact on the course of physiological and biochemical processes in the body. In the conditions of increase of temperature and humidity of air heat transfer from an organism to environment becomes difficult and can be carried out only at power of mechanisms of physical thermoregulation (expansion of peripheral vessels, strengthening of sweating). Difficulty in heat transfer leads to overheating of the body. The increase in body temperature is accompanied by a sharp excitation of the CNS, respiration and blood circulation, increased metabolism. Excessive sweating leads to dehydration, blood clotting, decreased volume of circulating fluid, electrolyte imbalance. All this, in turn, affects the processes of absorption, distribution and metabolism of drugs, their bioavailability after oral administration. Even greater changes in the functions of organs and systems develop with fever. The excitability of the respiratory center changes, which can cause a decrease in alveolar ventilation and partial tension of oxygen in the blood. The heart rate increases. Spasm of the vessels of the skin at the beginning of the development of fascia increases the total peripheral vascular resistance of blood flow, which causes an increase in blood pressure. Later, due to vasodilation, increased sweating and fluid loss in the second stage of fever, blood pressure drops, sometimes significantly. The onset of fever is also accompanied by significant changes in metabolism: increased breakdown of muscle protein, increased gluconeogenesis, changes in protein synthesis in the liver, the rate of biochemical processes in hepatocytes, cells of other organs.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With increasing absorption temperature, metabolism and transport of drugs proceed faster, and with decreasing - slow down. Local cooling of body tissues leads </w:t>
      </w:r>
      <w:r w:rsidRPr="003160BA">
        <w:rPr>
          <w:rFonts w:ascii="Times New Roman" w:hAnsi="Times New Roman"/>
          <w:color w:val="000000"/>
          <w:sz w:val="28"/>
          <w:szCs w:val="28"/>
          <w:lang w:val="en-US" w:eastAsia="ru-RU"/>
        </w:rPr>
        <w:lastRenderedPageBreak/>
        <w:t>to vasospasm, resulting in a sharp slowdown in absorption, which should be borne in mind when local administration of the drug. The influence of temperature factor on the pharmacokinetics of drugs must be taken into account in clinical practice in cases where drugs are prescribed to patients with severely impaired thermoregulation.</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Influence of age and sex</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person's age also affects the bioavailability of drugs. For young patients are characterized by higher rates of absorption, excretion, the shortest time to reach the maximum concentration of drugs; for the elderly - a higher value of the half-life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When prescribing drugs to children, it is important to remember that in children under one and a half years of age, the bioavailability of drugs taken orally is only slightly different from that of adults. However, their absorption (both active and passive) is very slow. As a result, small concentrations are created in the blood plasma, often insufficient to achieve a therapeutic effect. In children, the delicate, easily irritated mucous membrane of the rectum, because the reflexes that occur, lead to rapid bowel cleansing and reduced bioavailability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When inhaled, the introduction of the mucous membrane of the respiratory tract is also easily irritated and responds to it with abundant secretion, which significantly complicates the absorption of drugs. At the same time, when applying the drug to the skin of children, it should be borne in mind that it is much easier than in adults, the absorption of any substances. Differences in the action of drugs due to sex have been noticed since ancient times. The residence time of drugs in the body of women is much longer than in men, respectively, and the level of concentration of drugs in the blood of women is higher. It is believed that this is due to the relatively high content of "inert" adipose tissue in women, which plays the role of depot.</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Influence of biorhythms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One of the most powerful factors influencing a person and the effectiveness of drug therapy is also the action of biorhythms. Every cell of our body experiences time - the alternation of day and night. For a person is characterized by an increase during the day and a decrease in night physiological functions (heart rate, minute blood volume, blood pressure, body temperature, oxygen consumption, blood sugar, physical and mental performance). Biological rhythms cover a wide range of periods: age, annual, seasonal, monthly, weekly, daily. They are all strictly coordinated. The circadian, or round-the-clock, rhythm at the person is shown, first of all, in change of the periods of a dream and wakefulness. There is a biological rhythm of the body with a much lower frequency than the daily, which affects the reactivity of the body and affects the action of drugs. Such, for example, hormonal rhythmics (female menstrual cycle). The circadian rhythms of the liver enzyme systems involved in the metabolism of many drugs, which in turn are associated with external rhythm regulators, have been established.</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The basis of the biological rhythm of the body is the rhythm of metabolism. In humans, metabolic (mostly catabolic) processes that provide the biochemical basis of </w:t>
      </w:r>
      <w:r w:rsidRPr="003160BA">
        <w:rPr>
          <w:rFonts w:ascii="Times New Roman" w:hAnsi="Times New Roman"/>
          <w:color w:val="000000"/>
          <w:sz w:val="28"/>
          <w:szCs w:val="28"/>
          <w:lang w:val="en-US" w:eastAsia="ru-RU"/>
        </w:rPr>
        <w:lastRenderedPageBreak/>
        <w:t>activity reach a minimum at night, while biochemical processes that provide accumulation and energy resources reach a maximum during the day. The main factor that determines the biological rhythm is the conditions of existence of the organism. Seasonal and especially circadian rhythms act as if the conductors of all the oscillatory processes of the body, and therefore the attention of scientists is most focused on the study of these rhythms.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Accounting for physiological rhythms is a prerequisite for justifying the optimal time of medication. The experience of pharmacotherapy has necessitated the consumption of drugs in a certain period of time of day, month, season and so on, for example, taking sleeping pills or sedatives in the evening or at night, tonics and stimulants - in the morning or afternoon.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rapid development of medicine and biology in the second half of the XX century allowed to establish, explain and predict the influence of time factors or, rather, the phase of the body's biorhythm during which drugs were used, its effectiveness, increase side effects and identify the mechanism of this effect. The question of the effect of drugs on the body depending on the time of day, seasons of the year is studied by chronopharmacology, which establishes the principles and rules of rational administration of drugs, seeks schemes for their use in the treatment of desynchrony. Chronopharmacology is closely related to chronotherapy and chronobiology. The task of chronotherapy in general can be formulated as the organization of the treatment process based on the individual biorhythmological status and its correction using all the methods available in modern medicine. At inconsistency of biorhythms of an organism with time sensors desynchronosis which is a sign of physiological discomfort develops. It always occurs when moving from west to east or from east to west, in living conditions with unusual modes of work and rest (shift work), the exclusion of geophysical and social time sensors (polar day and night, space travel, deep dives), the impact stress factors (cold, heat, ionizing radiation, biologically active substances, mental and muscular tension, viruses, bacteria, food composition). Therefore, the rhythms of healthy and sick people are significantly different.</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During the day there is a different sensitivity of the body to optimal and toxic doses of drugs. The experiment found a 10-fold difference in mortality of rats from elenium and other drugs in this group at 3 o'clock in the morning compared with 8 o'clock in the morning. Tranquilizers show maximum toxicity in the active phase of the day, coincide with high motor activity. Their lowest toxicity was observed during normal sleep. Acute toxicity of adrenaline hydrochloride, ephedrine hydrochloride, mezaton and other adrenomimetics increases during the day and decreases significantly at night. And the acute toxicity of atropine sulfate, platyphyllinehydrotartrate, metacin and other cholinolytics is much higher at night, in the inactive phase of the day. High sensitivity to sleeping pills and anesthetics is observed in the evening, and to anesthetics in dentistry - at 14-15 o'clock in the afternoon (at this time it is recommended to remove teeth).</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lastRenderedPageBreak/>
        <w:t>The intensity of absorption, transport and decomposition of various drugs is subject to significant fluctuations during the day. For example, the half-life of prednisolone when administered to patients in the morning is approximately 3 times longer than when administered in the afternoon. Changes in the activity and toxicity of drugs may be associated with the periodicity of liver enzyme systems and renal function. The intensity of metabolic reactions and the complex interaction of the endocrine glands play a significant role in the daily changes in pharmacokinetics. An important factor is the susceptibility of biosystems to interaction. Due to the frequency of absorption, conversion, excretion of drugs and sensitivity, the question of the synchrony of time of the greatest activity of the drug and the maximum sensitivity to it is relevant. If these maxima coincide, the effectiveness of the drug will increase significantly.</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Because during the acrophase (maximum function time) of daily, seasonal or other rhythms, increased efficiency or activity of systems, as well as the greatest sensitivity of cells and tissues to substances, the introduction of drugs before or at the beginning of acrophase allows to achieve a therapeutic effect in smaller doses and reduce their negative side effects.</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Influence of magnetic field and meteorological factors </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significantly affect the higher centers of nervous and humoral regulation, biocurrents of the heart and brain, the permeability of biological membranes. Men are more sensitive to the activity of the Earth's magnetic field than women. Patients with disorders of the nervous and cardiovascular systems are most sensitive to magnetic storms in the Earth's atmosphere. In the days of magnetic storms, they have an exacerbation of the disease, there is a hypertensive crisis, cardiac arrhythmias, angina attacks, reduced efficiency, and so on. In turn, changes in the work of the heart, the intensity of blood circulation and, above all, the permeability of biomembranes can significantly change the bioavailability of drugs with different routes of administration, both in the direction of its reduction and increase.</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Meteorological factors (absolute humidity, atmospheric pressure, wind direction and strength, average daily temperature, etc.) affect the elasticity of blood vessels, viscosity and clotting time. A decrease in atmospheric pressure by 1.3-1.6 kPa (10-12 mm Hg) can lead to vascular disorders, rainy weather causes depression. Thunderstorms and hurricanes have a particularly adverse effect on human health. In a cubic centimeter of air usually consist of 200 to 1000 positive and negative ions. They affect the intensity of the heart, respiration, blood pressure and metabolism. A high concentration of positive ions causes depression, shortness of breath, dizziness, decreased overall tone, fatigue and fainting. And the increased concentration of negative ions has a beneficial effect on the body: it improves mental state and mood. Of course, this is due to the fact that they prevent the formation of serotonin (a neurotransmitter associated with the sensation of pain). During a thunderstorm, the number of negative ions in the atmosphere increases. The state of the central nervous system, the general tone of the body regulate the intensity of blood circulation in </w:t>
      </w:r>
      <w:r w:rsidRPr="003160BA">
        <w:rPr>
          <w:rFonts w:ascii="Times New Roman" w:hAnsi="Times New Roman"/>
          <w:color w:val="000000"/>
          <w:sz w:val="28"/>
          <w:szCs w:val="28"/>
          <w:lang w:val="en-US" w:eastAsia="ru-RU"/>
        </w:rPr>
        <w:lastRenderedPageBreak/>
        <w:t>various organs and tissues and to some extent the intensity of biotransformation of drugs into metabolites. This is reflected in changes in the absolute and overall bioavailability of drugs.</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Influence of pathological processes and individual features of an organism</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Significant in the body's response to drugs is its initial state. The influence of pathological conditions and diseases of the gastrointestinal tract and liver on the processes of absorption and metabolism of drugs are discussed above.</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Many pathological processes lead to a violation of the barrier function of biological membranes, changes in the permeability of biological barriers.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First of all, these are pathological processes that promote free radical (peroxide) oxidation of lipids, inflammatory processes that lead to the activation of phospholipases and their hydrolysis of membrane phospholipids. Also important are the processes that are accompanied by changes in electrolyte homeostasis of tissues, which causes mechanical (osmotic) stretching of membranes. General stress reactions of the body also lead to a mandatory change in the properties of all biological barriers, which inevitably affects the bioavailability of drugs and the effectiveness of drug therapy in patients of this category.</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presence of pathological processes causes altered reactivity of cells and tissues in relation to drugs (often in combination with the effect on pharmacokinetics). For example, stress can increase the process of excitation and weaken the inhibition in the cerebral cortex. In diseases of the kidneys there is a slowing of excretion, in diseases of the gastrointestinal tract and liver, the processes of absorption and distribution of drugs are disrupted.</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Individual sensitivity to drugs, such as butadione 6-7 times, to dicoumarin 10-13 times can vary widely. Differences in sensitivity to drugs are associated with different intensities of their metabolism due to genetic factors, with individual characteristics of the receptor mechanism.</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Influence of alcohol</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Alcohol adversely affects the therapeutic effect of many drugs and is the cause of dangerous complications. Ethanol affects the pharmacodynamics and pharmacokinetics of drugs in different ways. The bioavailability is directly affected by the following factors: changes in the permeability of histohematological barriers due to impaired fluidity of lipid membranes when interacting with ethanol; changes in the structure and function of cell membranes, impaired penetration of drugs through biomembranes; change in the structure and function of enzymes (acetylcholine esterase, mitochondrial electron transport chain enzymes); increased secretion of gastric mucus and decreased absorption of drugs in the stomach; switching the microsomal system of the nonspecific enzymatic system of the liver (MEOS - microsomal ethanooxidation system) to the oxidation of ethanol, resulting in a decrease in the level of oxidation of other endogenous and exogenous ligands; induction of liver microsomal enzymes and, as a consequence, changes in the rate and level of biotransformation of drugs.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lastRenderedPageBreak/>
        <w:t>At simultaneous appointment of drugs and ethyl alcohol their interaction can occur at once on several mechanisms that has important clinical value. The effect of the interaction of alcohol and drugs on the body depends on their concentration in the blood, pharmacodynamic properties of drugs, dose and time of administration. In small quantities (up to 5%) alcohol increases the secretion of gastric juice, and in concentrations of more than 30% clearly reduces its secretion and inhibits digestive processes. The absorption of many drugs increases as a result of increasing their solubility under the influence of ethanol. Possessing lipophilic properties, alcohol facilitates the penetration of drugs through the phospholipid membranes of cells, and in higher concentrations, affecting the gastric mucosa, further increases the absorption of drugs. As a vasodilator, ethanol accelerates the penetration of drugs into tissues. Inhibition of many enzymes, which occurs with alcohol consumption, enhances the effect of drugs and leads to severe intoxication at the usual therapeutic doses. This applies to neuroleptics, analgesics, anti-inflammatory, hypnotics, diuretics, as well as antidepressants, insulin, nitroglycerin. The combination of the above groups of drugs and alcohol is accompanied by severe poisoning, often fatal. Death occurs due to a sharp suppression of vital centers of the brain, respiratory and cardiovascular. Alcohol potentiates the action of anticoagulants (acetylsalicylic acid, dicoumarin, neodycoumarin, sincumar, etc.). It so intensifies their action that there can be heavy bleeding, hemorrhage in internal organs and a brain.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Alcohol has a multifaceted effect on the absorption and metabolism of hormonal drugs. In particular, the hypoglycemic effect of insulin and synthetic drugs for the treatment of diabetes is enhanced, resulting in the development of diabetic coma. Especially unacceptable use of alcohol and drugs that affect the function of the central nervous system: sedatives, hypnotics, anticonvulsants (bromides, chloral hydrate, diphenine, etc.), as well as tranquilizers (chlordiazepoxide, diazepam, oxazepam, meprobamate and others) . It is not recommended to drink alcohol at the same time as nitroglycerin, as this may lead to collapse. Antidiabetic sulfamides, chloramphenicol, griseofulvin, metronidazole giveantabuse effect (teturam-alcohol reaction). Under the influence of alcohol, the effectiveness of vitamin therapy decreases. There is inactivation and reduction of the concentration of antibiotics in the tissues. Alcohol enhances the side effects of sulfonamides and anthelmintics, it is incompatible with anticonvulsants. From the given examples the negative effect of alcohol at treatment by medicines is visible. But in all cases, the effectiveness of pharmacotherapy is reduced or even lost.</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The effect of smoking </w:t>
      </w:r>
      <w:r w:rsidRPr="003160BA">
        <w:rPr>
          <w:rFonts w:ascii="Times New Roman" w:hAnsi="Times New Roman"/>
          <w:color w:val="000000"/>
          <w:sz w:val="28"/>
          <w:szCs w:val="28"/>
          <w:lang w:val="en-US" w:eastAsia="ru-RU"/>
        </w:rPr>
        <w:t xml:space="preserve">on the action of drugs can be affected by substances entering the body during smoking. Nicotine as an H-cholinomimetic leads to the activation of sympathetic and parasympathetic ganglia, the cerebral layer of the adrenal glands, CNS dysfunction. Stimulation of the cerebral layer of the adrenal glands leads to narrowing of peripheral blood vessels, which disrupts the blood supply to many organs and tissues. Activation of parasympathetic ganglia increases the secretion of acidic gastric juice, which plays a role in drug absorption. Nicotine, </w:t>
      </w:r>
      <w:r w:rsidRPr="003160BA">
        <w:rPr>
          <w:rFonts w:ascii="Times New Roman" w:hAnsi="Times New Roman"/>
          <w:color w:val="000000"/>
          <w:sz w:val="28"/>
          <w:szCs w:val="28"/>
          <w:lang w:val="en-US" w:eastAsia="ru-RU"/>
        </w:rPr>
        <w:lastRenderedPageBreak/>
        <w:t>benzpyrene and their derivatives alter the activity of metabolic enzymes. Smoking stimulates the oxidative metabolism of phenacetin, propranolol, theophylline, noxiron, aminazine, diazepam, resulting in reduced efficiency. Smoking reduces the therapeutic effect of dexamethasone, furosemide (lasix), propoxyphene and oral contraceptives. Flavored cigarettes contain coumarins, which can enhance the effect of anticoagulants - coumarin derivatives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 a number of cases, the effect of smoking on the bioavailability and therapeutic efficacy of drugs requires further study. Thus, when prescribing drugs and assessing their therapeutic efficacy and toxicity, it is necessary to take into account the effects of numerous external and internal environmental factors.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 xml:space="preserve">The effect of drug interactions on bioavailability </w:t>
      </w:r>
      <w:r w:rsidRPr="003160BA">
        <w:rPr>
          <w:rFonts w:ascii="Times New Roman" w:hAnsi="Times New Roman"/>
          <w:color w:val="000000"/>
          <w:sz w:val="28"/>
          <w:szCs w:val="28"/>
          <w:lang w:val="en-US" w:eastAsia="ru-RU"/>
        </w:rPr>
        <w:t>by such interactions is understood as a qualitative and quantitative change in the effect of one drug under the influence of another. From a practical point of view, it is important to remember that even pharmacologically indifferent components of a drug can interact with another substance, affecting its bioavailability. The drug is also able to interact with itself. When re-ingested, it can induce microsomal oxidation of a foreign substance and thus accelerate its own metabolism (a classic example is barbiturates). Medications can also worsen their own effects on organs (an example is the emergence of opiate tolerance). In clinical practice, the phenomenon of drug interaction must be constantly considered for the following reasons: - almost every hospitalized patient during a hospital stay receives several drugs (sometimes up to 40! Substances prescribed to one patient), numerous finished drugs are a combination of two or more substances, a significant number of patients in outpatient treatment, consume drugs such as laxatives, analgesics, hypnotics, etc. The doctor can find out about it only after careful collection of medical history, some patients seek help from several doctors at once, without mentioning the recommendations of other doctors and their appointments, the elderly often suffer from several diseases, which leads to the objective need to use several different drugs. Of all possible interactions, only about 1-10% pose a risk of adverse effects, but the risk of mutual reduction in efficiency is significantly higher. New reports of drug interactions should always be treated with great care. The number of possible interactions at first glance is extremely large, although not everyone has clinical significance. There are three types of interactions: pharmaceutical, pharmacokinetic and pharmacodynamic.</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Didactic units:</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-Definition of biopharmacy</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-Biological availability</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-Bioavailability factors</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-Ways of drug administration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2.2. Questions (tests, tasks, clinical situations) to test basic knowledge on the topic of the lesson: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i/>
          <w:iCs/>
          <w:color w:val="000000"/>
          <w:sz w:val="28"/>
          <w:szCs w:val="28"/>
          <w:lang w:val="en-US" w:eastAsia="ru-RU"/>
        </w:rPr>
        <w:t>Answer the question:</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1. What does Biopharmacy study? The purpose and objectives of Biopharmacy?</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lastRenderedPageBreak/>
        <w:t xml:space="preserve">2. Biopharmaceutical classification system of drugs </w:t>
      </w:r>
      <w:r w:rsidRPr="003160BA">
        <w:rPr>
          <w:rFonts w:ascii="Times New Roman" w:hAnsi="Times New Roman"/>
          <w:color w:val="000000"/>
          <w:sz w:val="20"/>
          <w:szCs w:val="20"/>
          <w:lang w:val="en-US" w:eastAsia="ru-RU"/>
        </w:rPr>
        <w:t>.</w:t>
      </w:r>
    </w:p>
    <w:p w:rsidR="003160BA" w:rsidRPr="003160BA" w:rsidRDefault="003160BA" w:rsidP="00A7172B">
      <w:pPr>
        <w:spacing w:after="0" w:line="240" w:lineRule="auto"/>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3. What is the bioavailability of drugs, how to determine the bioavailability of drugs?</w:t>
      </w:r>
    </w:p>
    <w:p w:rsidR="003160BA" w:rsidRPr="003160BA" w:rsidRDefault="003160BA" w:rsidP="00A7172B">
      <w:pPr>
        <w:spacing w:after="0" w:line="240" w:lineRule="auto"/>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4. What parameters are important in determining the bioavailability of drugs?</w:t>
      </w:r>
    </w:p>
    <w:p w:rsidR="003160BA" w:rsidRPr="003160BA" w:rsidRDefault="003160BA" w:rsidP="00A7172B">
      <w:pPr>
        <w:spacing w:after="0" w:line="240" w:lineRule="auto"/>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5. Identify the factors that affect the bioavailability of drugs.</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6. How does the bioavailability differ by different routes of administration: parenteral, oral, rectal, inhalation route of administration?</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III. Formation of professional skills, abilities:</w:t>
      </w:r>
    </w:p>
    <w:p w:rsidR="003160BA" w:rsidRPr="003160BA" w:rsidRDefault="003160BA" w:rsidP="00A7172B">
      <w:pPr>
        <w:spacing w:after="0" w:line="240" w:lineRule="auto"/>
        <w:ind w:left="1080" w:hanging="720"/>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3.1.content of tasks:</w:t>
      </w:r>
    </w:p>
    <w:p w:rsidR="003160BA" w:rsidRPr="003160BA" w:rsidRDefault="003160BA" w:rsidP="00A7172B">
      <w:pPr>
        <w:spacing w:after="0" w:line="240" w:lineRule="auto"/>
        <w:ind w:firstLine="600"/>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Write recipes in Latin according to the current orders of the Ministry of Health of Ukraine. Justify the technology and make the appropriate calculations. Write a written control passport.</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Take: Anesthesia 2.0</w:t>
      </w:r>
    </w:p>
    <w:p w:rsidR="003160BA" w:rsidRPr="003160BA" w:rsidRDefault="003160BA" w:rsidP="00A7172B">
      <w:pPr>
        <w:spacing w:after="0" w:line="240" w:lineRule="auto"/>
        <w:ind w:left="708"/>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Boric acid 1.5</w:t>
      </w:r>
    </w:p>
    <w:p w:rsidR="003160BA" w:rsidRPr="003160BA" w:rsidRDefault="003160BA" w:rsidP="00A7172B">
      <w:pPr>
        <w:spacing w:after="0" w:line="240" w:lineRule="auto"/>
        <w:ind w:left="708"/>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Tar 5.0</w:t>
      </w:r>
    </w:p>
    <w:p w:rsidR="003160BA" w:rsidRPr="003160BA" w:rsidRDefault="003160BA" w:rsidP="00A7172B">
      <w:pPr>
        <w:spacing w:after="0" w:line="240" w:lineRule="auto"/>
        <w:ind w:left="708"/>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Castor oil 2.5</w:t>
      </w:r>
    </w:p>
    <w:p w:rsidR="003160BA" w:rsidRPr="003160BA" w:rsidRDefault="003160BA" w:rsidP="00A7172B">
      <w:pPr>
        <w:spacing w:after="0" w:line="240" w:lineRule="auto"/>
        <w:ind w:left="708"/>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Ethyl alcohol 96% to 50 ml</w:t>
      </w:r>
    </w:p>
    <w:p w:rsidR="003160BA" w:rsidRPr="003160BA" w:rsidRDefault="003160BA" w:rsidP="00A7172B">
      <w:pPr>
        <w:spacing w:after="0" w:line="240" w:lineRule="auto"/>
        <w:ind w:left="708"/>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Mix. Come on. Mark. Apply to hands.</w:t>
      </w:r>
    </w:p>
    <w:p w:rsidR="003160BA" w:rsidRPr="003160BA" w:rsidRDefault="003160BA" w:rsidP="00A7172B">
      <w:pPr>
        <w:spacing w:after="0" w:line="240" w:lineRule="auto"/>
        <w:jc w:val="both"/>
        <w:rPr>
          <w:rFonts w:ascii="Calibri" w:hAnsi="Calibri" w:cs="Calibri"/>
          <w:color w:val="000000"/>
          <w:sz w:val="28"/>
          <w:szCs w:val="28"/>
          <w:lang w:val="en-US" w:eastAsia="ru-RU"/>
        </w:rPr>
      </w:pPr>
    </w:p>
    <w:p w:rsidR="003160BA" w:rsidRPr="003160BA" w:rsidRDefault="003160BA" w:rsidP="00A7172B">
      <w:pPr>
        <w:spacing w:after="0" w:line="240" w:lineRule="auto"/>
        <w:ind w:left="1080" w:hanging="720"/>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3.2.recommendations (instructions) for performing tasks</w:t>
      </w:r>
    </w:p>
    <w:p w:rsidR="001F03B3" w:rsidRDefault="003160BA" w:rsidP="00A7172B">
      <w:pPr>
        <w:numPr>
          <w:ilvl w:val="0"/>
          <w:numId w:val="2"/>
        </w:numPr>
        <w:spacing w:after="0" w:line="240" w:lineRule="auto"/>
        <w:ind w:left="367" w:right="-1"/>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 xml:space="preserve">Rp .: Anaesthesini 2,0 </w:t>
      </w:r>
    </w:p>
    <w:p w:rsidR="001F03B3" w:rsidRDefault="003160BA" w:rsidP="00A7172B">
      <w:pPr>
        <w:spacing w:after="0" w:line="240" w:lineRule="auto"/>
        <w:ind w:left="367" w:right="-1"/>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 xml:space="preserve">Boric acid 1.5 </w:t>
      </w:r>
    </w:p>
    <w:p w:rsidR="001F03B3" w:rsidRDefault="003160BA" w:rsidP="00A7172B">
      <w:pPr>
        <w:spacing w:after="0" w:line="240" w:lineRule="auto"/>
        <w:ind w:left="367" w:right="-1"/>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 xml:space="preserve">PicisliquidaeBetulae 5,0 </w:t>
      </w:r>
    </w:p>
    <w:p w:rsidR="001F03B3" w:rsidRDefault="003160BA" w:rsidP="00A7172B">
      <w:pPr>
        <w:spacing w:after="0" w:line="240" w:lineRule="auto"/>
        <w:ind w:left="367" w:right="-1"/>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OieiRicini 2,5</w:t>
      </w:r>
    </w:p>
    <w:p w:rsidR="003160BA" w:rsidRPr="001F03B3" w:rsidRDefault="003160BA" w:rsidP="00A7172B">
      <w:pPr>
        <w:spacing w:after="0" w:line="240" w:lineRule="auto"/>
        <w:ind w:left="367" w:right="-1"/>
        <w:rPr>
          <w:rFonts w:ascii="Times New Roman" w:hAnsi="Times New Roman"/>
          <w:color w:val="000000"/>
          <w:sz w:val="28"/>
          <w:szCs w:val="28"/>
          <w:lang w:val="en-US" w:eastAsia="ru-RU"/>
        </w:rPr>
      </w:pPr>
      <w:r w:rsidRPr="001F03B3">
        <w:rPr>
          <w:rFonts w:ascii="Times New Roman" w:hAnsi="Times New Roman"/>
          <w:color w:val="000000"/>
          <w:sz w:val="28"/>
          <w:szCs w:val="28"/>
          <w:lang w:val="en-US" w:eastAsia="ru-RU"/>
        </w:rPr>
        <w:t>Spiritusaethylici 96% ad 50 ml</w:t>
      </w:r>
    </w:p>
    <w:p w:rsidR="003160BA" w:rsidRPr="003160BA" w:rsidRDefault="003160BA" w:rsidP="00A7172B">
      <w:pPr>
        <w:spacing w:after="0" w:line="240" w:lineRule="auto"/>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Misce. Yes. Sign. Apply to hands.</w:t>
      </w:r>
    </w:p>
    <w:p w:rsidR="003160BA" w:rsidRPr="003160BA" w:rsidRDefault="003160BA" w:rsidP="00A7172B">
      <w:pPr>
        <w:spacing w:after="0" w:line="240" w:lineRule="auto"/>
        <w:ind w:firstLine="620"/>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Liquid dosage form for external use - alcohol liniment.</w:t>
      </w:r>
    </w:p>
    <w:p w:rsidR="003160BA" w:rsidRPr="003160BA" w:rsidRDefault="003160BA" w:rsidP="00A7172B">
      <w:pPr>
        <w:spacing w:after="0" w:line="240" w:lineRule="auto"/>
        <w:ind w:firstLine="620"/>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composition of this recipe includes ingredients that are soluble in ethyl alcohol. Ethyl alcohol is dosed by volume, so the calculations are performed for castor oil and tar. The density of castor oil is 0.950 g, tar - 0.936. The volume of castor oil should be 2.6 ml (2.5: 0.950 = 2.6 ml), the volume of tar - 5.3 ml (5: 0.936 = 5.3 ml). To prepare this formulation of ethyl alcohol, it is necessary to take such an amount that after dissolving the anesthetic and boric acid, the volume of the alcohol solution does not exceed 42 ml (50 - 7.9 = 42.1 ml). 2.5 g of castor oil and 5.0 g of tar are weighed into a tared vial for tempering, an alcoholic solution of anesthetic 2.0 and boric acid 1.5 g, previously weighed into a stand with 95% ethyl alcohol 42.1 ml, is added. Shake thoroughly to a complete solution of ingredients. Make out labels "Keep in a cool place", "Shake before vacation", write a signature.</w:t>
      </w:r>
    </w:p>
    <w:p w:rsidR="003160BA" w:rsidRPr="003160BA" w:rsidRDefault="003160BA" w:rsidP="00A7172B">
      <w:pPr>
        <w:spacing w:after="0" w:line="240" w:lineRule="auto"/>
        <w:jc w:val="center"/>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PPK</w:t>
      </w:r>
    </w:p>
    <w:p w:rsidR="003160BA" w:rsidRPr="003160BA" w:rsidRDefault="003160BA" w:rsidP="00A7172B">
      <w:pPr>
        <w:spacing w:after="0" w:line="240" w:lineRule="auto"/>
        <w:ind w:left="740"/>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Date№ recipe</w:t>
      </w:r>
    </w:p>
    <w:p w:rsidR="00A7172B" w:rsidRDefault="003160BA" w:rsidP="00A7172B">
      <w:pPr>
        <w:spacing w:after="0" w:line="240" w:lineRule="auto"/>
        <w:ind w:left="1660" w:right="4120" w:hanging="920"/>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 xml:space="preserve">Taken: Anaesthesini 2.0 </w:t>
      </w:r>
    </w:p>
    <w:p w:rsidR="00A7172B" w:rsidRDefault="003160BA" w:rsidP="00A7172B">
      <w:pPr>
        <w:spacing w:after="0" w:line="240" w:lineRule="auto"/>
        <w:ind w:left="1660" w:right="4120" w:hanging="244"/>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 xml:space="preserve">Acidiborici 1.5 </w:t>
      </w:r>
    </w:p>
    <w:p w:rsidR="00A7172B" w:rsidRDefault="003160BA" w:rsidP="00A7172B">
      <w:pPr>
        <w:spacing w:after="0" w:line="240" w:lineRule="auto"/>
        <w:ind w:left="1660" w:right="4120" w:hanging="244"/>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lastRenderedPageBreak/>
        <w:t>Spiritusaethylici 95% 42.1 ml</w:t>
      </w:r>
    </w:p>
    <w:p w:rsidR="00A7172B" w:rsidRDefault="003160BA" w:rsidP="00A7172B">
      <w:pPr>
        <w:spacing w:after="0" w:line="240" w:lineRule="auto"/>
        <w:ind w:left="1660" w:right="4120" w:hanging="244"/>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 xml:space="preserve">OieiRicini 2.5 </w:t>
      </w:r>
    </w:p>
    <w:p w:rsidR="003160BA" w:rsidRPr="003160BA" w:rsidRDefault="003160BA" w:rsidP="00A7172B">
      <w:pPr>
        <w:spacing w:after="0" w:line="240" w:lineRule="auto"/>
        <w:ind w:left="1660" w:right="4120" w:hanging="244"/>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PicisliquidaeBetulae 5.0</w:t>
      </w:r>
    </w:p>
    <w:p w:rsidR="003160BA" w:rsidRPr="003160BA" w:rsidRDefault="003160BA" w:rsidP="00A7172B">
      <w:pPr>
        <w:spacing w:after="0" w:line="240" w:lineRule="auto"/>
        <w:ind w:left="740" w:right="6000" w:firstLine="1420"/>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 xml:space="preserve">In </w:t>
      </w:r>
      <w:r w:rsidRPr="003160BA">
        <w:rPr>
          <w:rFonts w:ascii="Times New Roman" w:hAnsi="Times New Roman"/>
          <w:color w:val="000000"/>
          <w:sz w:val="19"/>
          <w:szCs w:val="19"/>
          <w:vertAlign w:val="subscript"/>
          <w:lang w:val="en-US" w:eastAsia="ru-RU"/>
        </w:rPr>
        <w:t xml:space="preserve">total </w:t>
      </w:r>
      <w:r w:rsidRPr="003160BA">
        <w:rPr>
          <w:rFonts w:ascii="Times New Roman" w:hAnsi="Times New Roman"/>
          <w:color w:val="000000"/>
          <w:sz w:val="28"/>
          <w:szCs w:val="28"/>
          <w:lang w:val="en-US" w:eastAsia="ru-RU"/>
        </w:rPr>
        <w:t>= 50 ml Prepared - (signature) Checked - (signature)</w:t>
      </w:r>
    </w:p>
    <w:p w:rsidR="003160BA" w:rsidRPr="003160BA" w:rsidRDefault="003160BA" w:rsidP="00A7172B">
      <w:pPr>
        <w:spacing w:after="0" w:line="240" w:lineRule="auto"/>
        <w:ind w:left="740" w:right="6000" w:firstLine="1420"/>
        <w:jc w:val="both"/>
        <w:rPr>
          <w:rFonts w:ascii="Calibri" w:hAnsi="Calibri" w:cs="Calibri"/>
          <w:color w:val="000000"/>
          <w:sz w:val="28"/>
          <w:szCs w:val="28"/>
          <w:lang w:val="en-US" w:eastAsia="ru-RU"/>
        </w:rPr>
      </w:pPr>
    </w:p>
    <w:p w:rsidR="003160BA" w:rsidRPr="003160BA" w:rsidRDefault="003160BA" w:rsidP="00A7172B">
      <w:pPr>
        <w:spacing w:after="0" w:line="240" w:lineRule="auto"/>
        <w:ind w:left="720" w:hanging="720"/>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3.3.requirements for work results, including before registration;</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In accordance with the recommendations (instructions) for the tasks.</w:t>
      </w:r>
    </w:p>
    <w:p w:rsidR="003160BA" w:rsidRPr="003160BA" w:rsidRDefault="003160BA" w:rsidP="00A7172B">
      <w:pPr>
        <w:spacing w:after="0" w:line="240" w:lineRule="auto"/>
        <w:jc w:val="both"/>
        <w:rPr>
          <w:rFonts w:ascii="Calibri" w:hAnsi="Calibri" w:cs="Calibri"/>
          <w:color w:val="000000"/>
          <w:sz w:val="28"/>
          <w:szCs w:val="28"/>
          <w:lang w:val="en-US" w:eastAsia="ru-RU"/>
        </w:rPr>
      </w:pPr>
    </w:p>
    <w:p w:rsidR="003160BA" w:rsidRPr="003160BA" w:rsidRDefault="003160BA" w:rsidP="00A7172B">
      <w:pPr>
        <w:spacing w:after="0" w:line="240" w:lineRule="auto"/>
        <w:ind w:left="720" w:hanging="720"/>
        <w:jc w:val="both"/>
        <w:rPr>
          <w:rFonts w:ascii="Calibri" w:hAnsi="Calibri" w:cs="Calibri"/>
          <w:color w:val="000000"/>
          <w:sz w:val="20"/>
          <w:szCs w:val="20"/>
          <w:lang w:val="en-US" w:eastAsia="ru-RU"/>
        </w:rPr>
      </w:pPr>
      <w:r w:rsidRPr="003160BA">
        <w:rPr>
          <w:rFonts w:ascii="Times New Roman" w:hAnsi="Times New Roman"/>
          <w:b/>
          <w:bCs/>
          <w:color w:val="000000"/>
          <w:sz w:val="28"/>
          <w:szCs w:val="28"/>
          <w:lang w:val="en-US" w:eastAsia="ru-RU"/>
        </w:rPr>
        <w:t>3.4.control materials for the final stage of the lesson: tasks, tasks, tests, etc.</w:t>
      </w:r>
    </w:p>
    <w:p w:rsidR="003160BA" w:rsidRPr="003160BA" w:rsidRDefault="003160BA" w:rsidP="00A7172B">
      <w:pPr>
        <w:numPr>
          <w:ilvl w:val="0"/>
          <w:numId w:val="3"/>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 which years of the twentieth century in the scientific literature used the term "biopharmacy"?</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50s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60s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80s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90s</w:t>
      </w:r>
    </w:p>
    <w:p w:rsidR="003160BA" w:rsidRPr="003160BA" w:rsidRDefault="003160BA" w:rsidP="00A7172B">
      <w:pPr>
        <w:spacing w:after="0" w:line="240" w:lineRule="auto"/>
        <w:ind w:firstLine="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40s</w:t>
      </w:r>
    </w:p>
    <w:p w:rsidR="003160BA" w:rsidRPr="003160BA" w:rsidRDefault="003160BA" w:rsidP="00A7172B">
      <w:pPr>
        <w:numPr>
          <w:ilvl w:val="0"/>
          <w:numId w:val="4"/>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What is the known fact that underlies the emergence of biopharmacy?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establishment of pharmacological incompatibility of drugs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detection of technological incompatibility of drugs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detection of therapeutic drug inequality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detection of synergism of action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detection of antagonism of action</w:t>
      </w:r>
    </w:p>
    <w:p w:rsidR="003160BA" w:rsidRPr="003160BA" w:rsidRDefault="003160BA" w:rsidP="00A7172B">
      <w:pPr>
        <w:numPr>
          <w:ilvl w:val="0"/>
          <w:numId w:val="5"/>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Enter the name of the licensed drugs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brandy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generics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generics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copies</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forgeries</w:t>
      </w:r>
    </w:p>
    <w:p w:rsidR="003160BA" w:rsidRPr="003160BA" w:rsidRDefault="003160BA" w:rsidP="00A7172B">
      <w:pPr>
        <w:numPr>
          <w:ilvl w:val="0"/>
          <w:numId w:val="6"/>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Indicate which term corresponds to the following statement: "Biologically active part of the drug that is responsible for the therapeutic effect."</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effective substance</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efficiency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distribution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biotransformation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system availability</w:t>
      </w:r>
    </w:p>
    <w:p w:rsidR="003160BA" w:rsidRPr="003160BA" w:rsidRDefault="003160BA" w:rsidP="00A7172B">
      <w:pPr>
        <w:numPr>
          <w:ilvl w:val="0"/>
          <w:numId w:val="7"/>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Indicate which term corresponds to the following statement: "Biologically active part of the drug that is responsible for the therapeutic effect."</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effective substance</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efficiency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distribution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lastRenderedPageBreak/>
        <w:t>D. biotransformation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system availability</w:t>
      </w:r>
    </w:p>
    <w:p w:rsidR="003160BA" w:rsidRPr="003160BA" w:rsidRDefault="003160BA" w:rsidP="00A7172B">
      <w:pPr>
        <w:numPr>
          <w:ilvl w:val="0"/>
          <w:numId w:val="8"/>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Indicate which term corresponds to the following statement: "The ability of a drug substance or drug to achieve the desired effect."</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effective substance</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bioavailability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efficiency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biotransformation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clinical equivalent</w:t>
      </w:r>
    </w:p>
    <w:p w:rsidR="003160BA" w:rsidRPr="003160BA" w:rsidRDefault="003160BA" w:rsidP="00A7172B">
      <w:pPr>
        <w:numPr>
          <w:ilvl w:val="0"/>
          <w:numId w:val="9"/>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Indicate which term corresponds to the following statement: "A condition that allows a drug substance introduced into the body to reach the site of exposure."</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therapeutic inequality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equivalence</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pharmaceutical inequality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bioavailability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pharmaceutical equivalent</w:t>
      </w:r>
    </w:p>
    <w:p w:rsidR="003160BA" w:rsidRPr="003160BA" w:rsidRDefault="003160BA" w:rsidP="00A7172B">
      <w:pPr>
        <w:numPr>
          <w:ilvl w:val="0"/>
          <w:numId w:val="10"/>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Indicate which processes relate to the direct study of biopharmacy?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derivation, effect</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release of the substance from the dosage form, absorption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metabolism, excretion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absorption, distribution, metabolism, excretion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destruction</w:t>
      </w:r>
    </w:p>
    <w:p w:rsidR="003160BA" w:rsidRPr="003160BA" w:rsidRDefault="003160BA" w:rsidP="00A7172B">
      <w:pPr>
        <w:numPr>
          <w:ilvl w:val="0"/>
          <w:numId w:val="11"/>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Indicate which processes relate to the direct study of biopharmacy?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derivation, effect</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release of the substance from the dosage form, absorption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metabolism, excretion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absorption, distribution, metabolism, excretion</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LADMER</w:t>
      </w:r>
    </w:p>
    <w:p w:rsidR="003160BA" w:rsidRPr="003160BA" w:rsidRDefault="003160BA" w:rsidP="00A7172B">
      <w:pPr>
        <w:numPr>
          <w:ilvl w:val="0"/>
          <w:numId w:val="12"/>
        </w:numPr>
        <w:spacing w:after="0" w:line="240" w:lineRule="auto"/>
        <w:jc w:val="both"/>
        <w:rPr>
          <w:rFonts w:ascii="Times New Roman" w:hAnsi="Times New Roman"/>
          <w:color w:val="000000"/>
          <w:sz w:val="28"/>
          <w:szCs w:val="28"/>
          <w:lang w:val="en-US" w:eastAsia="ru-RU"/>
        </w:rPr>
      </w:pPr>
      <w:r w:rsidRPr="003160BA">
        <w:rPr>
          <w:rFonts w:ascii="Times New Roman" w:hAnsi="Times New Roman"/>
          <w:color w:val="000000"/>
          <w:sz w:val="28"/>
          <w:szCs w:val="28"/>
          <w:lang w:val="en-US" w:eastAsia="ru-RU"/>
        </w:rPr>
        <w:t>Hard gelatin capsules are designed for dosing of loose powder, granular and microencapsulated substances. They have the shape of a cylinder and consist of two parts. Name them:</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A. stem and capillary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B. body and capillary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C. body and lid</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D. body and body</w:t>
      </w:r>
    </w:p>
    <w:p w:rsidR="003160BA" w:rsidRPr="003160BA" w:rsidRDefault="003160BA" w:rsidP="00A7172B">
      <w:pPr>
        <w:spacing w:after="0" w:line="240" w:lineRule="auto"/>
        <w:ind w:left="567"/>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E. pulp and lid</w:t>
      </w:r>
    </w:p>
    <w:p w:rsidR="003160BA" w:rsidRPr="003160BA" w:rsidRDefault="003160BA" w:rsidP="00A7172B">
      <w:pPr>
        <w:spacing w:after="0" w:line="240" w:lineRule="auto"/>
        <w:ind w:left="1080" w:hanging="513"/>
        <w:jc w:val="both"/>
        <w:rPr>
          <w:rFonts w:ascii="Calibri" w:hAnsi="Calibri" w:cs="Calibri"/>
          <w:color w:val="000000"/>
          <w:sz w:val="20"/>
          <w:szCs w:val="20"/>
          <w:lang w:val="en-US" w:eastAsia="ru-RU"/>
        </w:rPr>
      </w:pPr>
      <w:r w:rsidRPr="003160BA">
        <w:rPr>
          <w:rFonts w:ascii="Times New Roman" w:hAnsi="Times New Roman"/>
          <w:color w:val="000000"/>
          <w:sz w:val="28"/>
          <w:szCs w:val="28"/>
          <w:lang w:val="en-US" w:eastAsia="ru-RU"/>
        </w:rPr>
        <w:t>10.1.</w:t>
      </w:r>
    </w:p>
    <w:p w:rsidR="003160BA" w:rsidRPr="003160BA" w:rsidRDefault="003160BA" w:rsidP="00A7172B">
      <w:pPr>
        <w:spacing w:after="0" w:line="240" w:lineRule="auto"/>
        <w:jc w:val="both"/>
        <w:rPr>
          <w:rFonts w:ascii="Calibri" w:hAnsi="Calibri" w:cs="Calibri"/>
          <w:color w:val="000000"/>
          <w:sz w:val="28"/>
          <w:szCs w:val="28"/>
          <w:lang w:val="en-US" w:eastAsia="ru-RU"/>
        </w:rPr>
      </w:pPr>
      <w:r w:rsidRPr="003160BA">
        <w:rPr>
          <w:rFonts w:ascii="Times New Roman" w:hAnsi="Times New Roman"/>
          <w:b/>
          <w:bCs/>
          <w:color w:val="000000"/>
          <w:sz w:val="28"/>
          <w:szCs w:val="28"/>
          <w:lang w:val="en-US" w:eastAsia="ru-RU"/>
        </w:rPr>
        <w:t>IV. Summing up</w:t>
      </w:r>
    </w:p>
    <w:p w:rsidR="00A7172B" w:rsidRPr="00BE6F51" w:rsidRDefault="00A7172B" w:rsidP="00A7172B">
      <w:pPr>
        <w:shd w:val="clear" w:color="auto" w:fill="FFFFFF"/>
        <w:spacing w:after="0" w:line="240" w:lineRule="auto"/>
        <w:jc w:val="center"/>
        <w:rPr>
          <w:rFonts w:ascii="Times New Roman" w:hAnsi="Times New Roman"/>
          <w:b/>
          <w:sz w:val="28"/>
          <w:szCs w:val="28"/>
        </w:rPr>
      </w:pPr>
      <w:r w:rsidRPr="005959E2">
        <w:rPr>
          <w:rFonts w:ascii="Times New Roman" w:hAnsi="Times New Roman"/>
          <w:b/>
          <w:sz w:val="28"/>
          <w:szCs w:val="28"/>
          <w:lang w:val="en-US"/>
        </w:rPr>
        <w:t>Main</w:t>
      </w:r>
      <w:r w:rsidRPr="00BE6F51">
        <w:rPr>
          <w:rFonts w:ascii="Times New Roman" w:hAnsi="Times New Roman"/>
          <w:b/>
          <w:sz w:val="28"/>
          <w:szCs w:val="28"/>
        </w:rPr>
        <w:t>:</w:t>
      </w:r>
    </w:p>
    <w:p w:rsidR="00BE6F51" w:rsidRDefault="00BE6F51" w:rsidP="00BE6F51">
      <w:pPr>
        <w:tabs>
          <w:tab w:val="left" w:pos="426"/>
          <w:tab w:val="left" w:pos="993"/>
        </w:tabs>
        <w:spacing w:after="0" w:line="240" w:lineRule="auto"/>
        <w:ind w:firstLine="567"/>
        <w:jc w:val="both"/>
        <w:rPr>
          <w:rFonts w:ascii="Times New Roman" w:hAnsi="Times New Roman"/>
          <w:sz w:val="28"/>
          <w:szCs w:val="28"/>
          <w:lang w:val="uk-UA"/>
        </w:rPr>
      </w:pPr>
      <w:r w:rsidRPr="00BE6F51">
        <w:rPr>
          <w:rFonts w:ascii="Times New Roman" w:hAnsi="Times New Roman"/>
          <w:sz w:val="28"/>
          <w:szCs w:val="28"/>
        </w:rPr>
        <w:t xml:space="preserve">1. </w:t>
      </w:r>
      <w:r w:rsidRPr="00610AFA">
        <w:rPr>
          <w:rFonts w:ascii="Times New Roman" w:hAnsi="Times New Roman"/>
          <w:sz w:val="28"/>
          <w:szCs w:val="28"/>
        </w:rPr>
        <w:t>Біофармація</w:t>
      </w:r>
      <w:r w:rsidRPr="00BE6F51">
        <w:rPr>
          <w:rFonts w:ascii="Times New Roman" w:hAnsi="Times New Roman"/>
          <w:sz w:val="28"/>
          <w:szCs w:val="28"/>
        </w:rPr>
        <w:t xml:space="preserve"> : </w:t>
      </w:r>
      <w:r w:rsidRPr="00610AFA">
        <w:rPr>
          <w:rFonts w:ascii="Times New Roman" w:hAnsi="Times New Roman"/>
          <w:sz w:val="28"/>
          <w:szCs w:val="28"/>
        </w:rPr>
        <w:t>підруч</w:t>
      </w:r>
      <w:r w:rsidRPr="00BE6F51">
        <w:rPr>
          <w:rFonts w:ascii="Times New Roman" w:hAnsi="Times New Roman"/>
          <w:sz w:val="28"/>
          <w:szCs w:val="28"/>
        </w:rPr>
        <w:t xml:space="preserve">. </w:t>
      </w:r>
      <w:r w:rsidRPr="00610AFA">
        <w:rPr>
          <w:rFonts w:ascii="Times New Roman" w:hAnsi="Times New Roman"/>
          <w:sz w:val="28"/>
          <w:szCs w:val="28"/>
        </w:rPr>
        <w:t>для</w:t>
      </w:r>
      <w:r w:rsidRPr="00BE6F51">
        <w:rPr>
          <w:rFonts w:ascii="Times New Roman" w:hAnsi="Times New Roman"/>
          <w:sz w:val="28"/>
          <w:szCs w:val="28"/>
        </w:rPr>
        <w:t xml:space="preserve"> </w:t>
      </w:r>
      <w:r w:rsidRPr="00610AFA">
        <w:rPr>
          <w:rFonts w:ascii="Times New Roman" w:hAnsi="Times New Roman"/>
          <w:sz w:val="28"/>
          <w:szCs w:val="28"/>
        </w:rPr>
        <w:t>студентів</w:t>
      </w:r>
      <w:r w:rsidRPr="00BE6F51">
        <w:rPr>
          <w:rFonts w:ascii="Times New Roman" w:hAnsi="Times New Roman"/>
          <w:sz w:val="28"/>
          <w:szCs w:val="28"/>
        </w:rPr>
        <w:t xml:space="preserve"> </w:t>
      </w:r>
      <w:r w:rsidRPr="00610AFA">
        <w:rPr>
          <w:rFonts w:ascii="Times New Roman" w:hAnsi="Times New Roman"/>
          <w:sz w:val="28"/>
          <w:szCs w:val="28"/>
        </w:rPr>
        <w:t>закл</w:t>
      </w:r>
      <w:r w:rsidRPr="00BE6F51">
        <w:rPr>
          <w:rFonts w:ascii="Times New Roman" w:hAnsi="Times New Roman"/>
          <w:sz w:val="28"/>
          <w:szCs w:val="28"/>
        </w:rPr>
        <w:t xml:space="preserve">. </w:t>
      </w:r>
      <w:r w:rsidRPr="00610AFA">
        <w:rPr>
          <w:rFonts w:ascii="Times New Roman" w:hAnsi="Times New Roman"/>
          <w:sz w:val="28"/>
          <w:szCs w:val="28"/>
        </w:rPr>
        <w:t>вищ</w:t>
      </w:r>
      <w:r w:rsidRPr="00BE6F51">
        <w:rPr>
          <w:rFonts w:ascii="Times New Roman" w:hAnsi="Times New Roman"/>
          <w:sz w:val="28"/>
          <w:szCs w:val="28"/>
        </w:rPr>
        <w:t xml:space="preserve">. </w:t>
      </w:r>
      <w:r w:rsidRPr="00610AFA">
        <w:rPr>
          <w:rFonts w:ascii="Times New Roman" w:hAnsi="Times New Roman"/>
          <w:sz w:val="28"/>
          <w:szCs w:val="28"/>
        </w:rPr>
        <w:t>освіти</w:t>
      </w:r>
      <w:r w:rsidRPr="00BE6F51">
        <w:rPr>
          <w:rFonts w:ascii="Times New Roman" w:hAnsi="Times New Roman"/>
          <w:sz w:val="28"/>
          <w:szCs w:val="28"/>
        </w:rPr>
        <w:t xml:space="preserve"> / </w:t>
      </w:r>
      <w:r w:rsidRPr="00610AFA">
        <w:rPr>
          <w:rFonts w:ascii="Times New Roman" w:hAnsi="Times New Roman"/>
          <w:sz w:val="28"/>
          <w:szCs w:val="28"/>
        </w:rPr>
        <w:t>О</w:t>
      </w:r>
      <w:r w:rsidRPr="00BE6F51">
        <w:rPr>
          <w:rFonts w:ascii="Times New Roman" w:hAnsi="Times New Roman"/>
          <w:sz w:val="28"/>
          <w:szCs w:val="28"/>
        </w:rPr>
        <w:t xml:space="preserve">. </w:t>
      </w:r>
      <w:r w:rsidRPr="00610AFA">
        <w:rPr>
          <w:rFonts w:ascii="Times New Roman" w:hAnsi="Times New Roman"/>
          <w:sz w:val="28"/>
          <w:szCs w:val="28"/>
        </w:rPr>
        <w:t>І</w:t>
      </w:r>
      <w:r w:rsidRPr="00BE6F51">
        <w:rPr>
          <w:rFonts w:ascii="Times New Roman" w:hAnsi="Times New Roman"/>
          <w:sz w:val="28"/>
          <w:szCs w:val="28"/>
        </w:rPr>
        <w:t xml:space="preserve">. </w:t>
      </w:r>
      <w:r w:rsidRPr="00610AFA">
        <w:rPr>
          <w:rFonts w:ascii="Times New Roman" w:hAnsi="Times New Roman"/>
          <w:sz w:val="28"/>
          <w:szCs w:val="28"/>
        </w:rPr>
        <w:t>Тихонов</w:t>
      </w:r>
      <w:r w:rsidRPr="00BE6F51">
        <w:rPr>
          <w:rFonts w:ascii="Times New Roman" w:hAnsi="Times New Roman"/>
          <w:sz w:val="28"/>
          <w:szCs w:val="28"/>
        </w:rPr>
        <w:t xml:space="preserve"> [</w:t>
      </w:r>
      <w:r w:rsidRPr="00610AFA">
        <w:rPr>
          <w:rFonts w:ascii="Times New Roman" w:hAnsi="Times New Roman"/>
          <w:sz w:val="28"/>
          <w:szCs w:val="28"/>
        </w:rPr>
        <w:t>та</w:t>
      </w:r>
      <w:r w:rsidRPr="00BE6F51">
        <w:rPr>
          <w:rFonts w:ascii="Times New Roman" w:hAnsi="Times New Roman"/>
          <w:sz w:val="28"/>
          <w:szCs w:val="28"/>
        </w:rPr>
        <w:t xml:space="preserve"> </w:t>
      </w:r>
      <w:r w:rsidRPr="00610AFA">
        <w:rPr>
          <w:rFonts w:ascii="Times New Roman" w:hAnsi="Times New Roman"/>
          <w:sz w:val="28"/>
          <w:szCs w:val="28"/>
        </w:rPr>
        <w:t>ін</w:t>
      </w:r>
      <w:r w:rsidRPr="00BE6F51">
        <w:rPr>
          <w:rFonts w:ascii="Times New Roman" w:hAnsi="Times New Roman"/>
          <w:sz w:val="28"/>
          <w:szCs w:val="28"/>
        </w:rPr>
        <w:t xml:space="preserve">.] ; </w:t>
      </w:r>
      <w:r w:rsidRPr="00610AFA">
        <w:rPr>
          <w:rFonts w:ascii="Times New Roman" w:hAnsi="Times New Roman"/>
          <w:sz w:val="28"/>
          <w:szCs w:val="28"/>
        </w:rPr>
        <w:t>за</w:t>
      </w:r>
      <w:r w:rsidRPr="00BE6F51">
        <w:rPr>
          <w:rFonts w:ascii="Times New Roman" w:hAnsi="Times New Roman"/>
          <w:sz w:val="28"/>
          <w:szCs w:val="28"/>
        </w:rPr>
        <w:t xml:space="preserve"> </w:t>
      </w:r>
      <w:r w:rsidRPr="00610AFA">
        <w:rPr>
          <w:rFonts w:ascii="Times New Roman" w:hAnsi="Times New Roman"/>
          <w:sz w:val="28"/>
          <w:szCs w:val="28"/>
        </w:rPr>
        <w:t>ред</w:t>
      </w:r>
      <w:r w:rsidRPr="00BE6F51">
        <w:rPr>
          <w:rFonts w:ascii="Times New Roman" w:hAnsi="Times New Roman"/>
          <w:sz w:val="28"/>
          <w:szCs w:val="28"/>
        </w:rPr>
        <w:t xml:space="preserve">. </w:t>
      </w:r>
      <w:r w:rsidRPr="00610AFA">
        <w:rPr>
          <w:rFonts w:ascii="Times New Roman" w:hAnsi="Times New Roman"/>
          <w:sz w:val="28"/>
          <w:szCs w:val="28"/>
        </w:rPr>
        <w:t xml:space="preserve">О. І. Тихонова. – 2-ге вид., перероб. і допов. – Харків : НФаУ: Золоті сторінки, 2019. – 224 с </w:t>
      </w:r>
    </w:p>
    <w:p w:rsidR="00BE6F51" w:rsidRDefault="00BE6F51" w:rsidP="00BE6F5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lastRenderedPageBreak/>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BE6F51" w:rsidRDefault="00BE6F51" w:rsidP="00BE6F5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BE6F51" w:rsidRDefault="00BE6F51" w:rsidP="00BE6F5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 4. Настанова СТ-Н МОЗУ 42-7.2:2018 Лікарські засоби дослідження біоеквівалентності. – Київ, 2018. – 77 с. </w:t>
      </w:r>
    </w:p>
    <w:p w:rsidR="005A2E5B" w:rsidRPr="00BE6F51" w:rsidRDefault="005A2E5B">
      <w:pPr>
        <w:rPr>
          <w:lang w:val="uk-UA"/>
        </w:rPr>
      </w:pPr>
    </w:p>
    <w:sectPr w:rsidR="005A2E5B" w:rsidRPr="00BE6F51" w:rsidSect="00424231">
      <w:headerReference w:type="default" r:id="rId15"/>
      <w:footerReference w:type="default" r:id="rId16"/>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6D00" w:rsidRDefault="008B6D00" w:rsidP="00A35AFB">
      <w:pPr>
        <w:spacing w:after="0" w:line="240" w:lineRule="auto"/>
      </w:pPr>
      <w:r>
        <w:separator/>
      </w:r>
    </w:p>
  </w:endnote>
  <w:endnote w:type="continuationSeparator" w:id="1">
    <w:p w:rsidR="008B6D00" w:rsidRDefault="008B6D00" w:rsidP="00A35A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AFB" w:rsidRPr="00A35AFB" w:rsidRDefault="00A35AFB" w:rsidP="00A35AFB">
    <w:pPr>
      <w:pStyle w:val="a7"/>
      <w:ind w:firstLine="567"/>
      <w:rPr>
        <w:rFonts w:ascii="Times New Roman" w:hAnsi="Times New Roman"/>
        <w:sz w:val="24"/>
        <w:szCs w:val="24"/>
        <w:lang w:val="en-US"/>
      </w:rPr>
    </w:pPr>
    <w:r w:rsidRPr="002F26F7">
      <w:rPr>
        <w:rFonts w:ascii="Times New Roman" w:hAnsi="Times New Roman"/>
        <w:sz w:val="24"/>
        <w:szCs w:val="24"/>
        <w:lang w:val="en-US"/>
      </w:rPr>
      <w:t>Me</w:t>
    </w:r>
    <w:r>
      <w:rPr>
        <w:rFonts w:ascii="Times New Roman" w:hAnsi="Times New Roman"/>
        <w:sz w:val="24"/>
        <w:szCs w:val="24"/>
        <w:lang w:val="en-US"/>
      </w:rPr>
      <w:t>thodical development of practices</w:t>
    </w:r>
    <w:r w:rsidRPr="002F26F7">
      <w:rPr>
        <w:rFonts w:ascii="Times New Roman" w:hAnsi="Times New Roman"/>
        <w:sz w:val="24"/>
        <w:szCs w:val="24"/>
        <w:lang w:val="en-US"/>
      </w:rPr>
      <w:t>, OPP "Pharmacy, industrial pharmacy", 5th year, Faculty of Pharmacy, Discipline: "Biopharmacy" p. 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6D00" w:rsidRDefault="008B6D00" w:rsidP="00A35AFB">
      <w:pPr>
        <w:spacing w:after="0" w:line="240" w:lineRule="auto"/>
      </w:pPr>
      <w:r>
        <w:separator/>
      </w:r>
    </w:p>
  </w:footnote>
  <w:footnote w:type="continuationSeparator" w:id="1">
    <w:p w:rsidR="008B6D00" w:rsidRDefault="008B6D00" w:rsidP="00A35A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AFB" w:rsidRDefault="00A35AFB" w:rsidP="00A35AFB">
    <w:pPr>
      <w:pStyle w:val="a5"/>
      <w:ind w:firstLine="567"/>
      <w:jc w:val="both"/>
      <w:rPr>
        <w:rFonts w:ascii="Times New Roman" w:hAnsi="Times New Roman"/>
        <w:i/>
        <w:sz w:val="24"/>
        <w:szCs w:val="24"/>
        <w:lang w:val="en-US"/>
      </w:rPr>
    </w:pPr>
    <w:r w:rsidRPr="00A35AFB">
      <w:rPr>
        <w:rFonts w:ascii="Times New Roman" w:hAnsi="Times New Roman"/>
        <w:i/>
        <w:sz w:val="24"/>
        <w:szCs w:val="24"/>
        <w:lang w:val="en-US"/>
      </w:rPr>
      <w:t>ONMedU, Department of Drug Technology Practice №1. "</w:t>
    </w:r>
    <w:r w:rsidRPr="00A35AFB">
      <w:rPr>
        <w:rFonts w:ascii="Times New Roman" w:hAnsi="Times New Roman"/>
        <w:bCs/>
        <w:i/>
        <w:color w:val="000000"/>
        <w:sz w:val="24"/>
        <w:szCs w:val="24"/>
        <w:lang w:val="en-US" w:eastAsia="ru-RU"/>
      </w:rPr>
      <w:t>Biopharmacy as a scientific and educational discipline. Subject and tasks of biopharmacy. The main indicators of bioavailability of drugs. Factors that affect the bioavailability of drugs.</w:t>
    </w:r>
    <w:r w:rsidRPr="00A35AFB">
      <w:rPr>
        <w:rFonts w:ascii="Times New Roman" w:hAnsi="Times New Roman"/>
        <w:i/>
        <w:sz w:val="24"/>
        <w:szCs w:val="24"/>
        <w:lang w:val="en-US"/>
      </w:rPr>
      <w:t>".</w:t>
    </w:r>
  </w:p>
  <w:p w:rsidR="00A35AFB" w:rsidRPr="00A35AFB" w:rsidRDefault="00A35AFB" w:rsidP="00A35AFB">
    <w:pPr>
      <w:pStyle w:val="a5"/>
      <w:ind w:firstLine="567"/>
      <w:jc w:val="both"/>
      <w:rPr>
        <w:rFonts w:ascii="Times New Roman" w:hAnsi="Times New Roman"/>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C541D"/>
    <w:multiLevelType w:val="multilevel"/>
    <w:tmpl w:val="536CEE2C"/>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FF725DD"/>
    <w:multiLevelType w:val="multilevel"/>
    <w:tmpl w:val="938246EC"/>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0FE0080"/>
    <w:multiLevelType w:val="multilevel"/>
    <w:tmpl w:val="96E44540"/>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836176B"/>
    <w:multiLevelType w:val="multilevel"/>
    <w:tmpl w:val="131C6C96"/>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1E0B4C1D"/>
    <w:multiLevelType w:val="multilevel"/>
    <w:tmpl w:val="6FA6BC7A"/>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EE509D6"/>
    <w:multiLevelType w:val="multilevel"/>
    <w:tmpl w:val="F65CDE4E"/>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44B5059C"/>
    <w:multiLevelType w:val="multilevel"/>
    <w:tmpl w:val="C562BAE2"/>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4F5B1C1A"/>
    <w:multiLevelType w:val="multilevel"/>
    <w:tmpl w:val="A170B97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4FB05FA7"/>
    <w:multiLevelType w:val="multilevel"/>
    <w:tmpl w:val="C5F864CC"/>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53F106B3"/>
    <w:multiLevelType w:val="multilevel"/>
    <w:tmpl w:val="444695CC"/>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58CB3F1C"/>
    <w:multiLevelType w:val="multilevel"/>
    <w:tmpl w:val="BA084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96819A7"/>
    <w:multiLevelType w:val="multilevel"/>
    <w:tmpl w:val="7E54D5E8"/>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72FD33B3"/>
    <w:multiLevelType w:val="multilevel"/>
    <w:tmpl w:val="216EBAF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7716561F"/>
    <w:multiLevelType w:val="multilevel"/>
    <w:tmpl w:val="3B6E45F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0"/>
  </w:num>
  <w:num w:numId="2">
    <w:abstractNumId w:val="6"/>
  </w:num>
  <w:num w:numId="3">
    <w:abstractNumId w:val="12"/>
  </w:num>
  <w:num w:numId="4">
    <w:abstractNumId w:val="11"/>
  </w:num>
  <w:num w:numId="5">
    <w:abstractNumId w:val="9"/>
  </w:num>
  <w:num w:numId="6">
    <w:abstractNumId w:val="3"/>
  </w:num>
  <w:num w:numId="7">
    <w:abstractNumId w:val="1"/>
  </w:num>
  <w:num w:numId="8">
    <w:abstractNumId w:val="4"/>
  </w:num>
  <w:num w:numId="9">
    <w:abstractNumId w:val="2"/>
  </w:num>
  <w:num w:numId="10">
    <w:abstractNumId w:val="0"/>
  </w:num>
  <w:num w:numId="11">
    <w:abstractNumId w:val="8"/>
  </w:num>
  <w:num w:numId="12">
    <w:abstractNumId w:val="5"/>
  </w:num>
  <w:num w:numId="13">
    <w:abstractNumId w:val="13"/>
  </w:num>
  <w:num w:numId="14">
    <w:abstractNumId w:val="7"/>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3160BA"/>
    <w:rsid w:val="0004480D"/>
    <w:rsid w:val="00094E5C"/>
    <w:rsid w:val="0010018F"/>
    <w:rsid w:val="001F03B3"/>
    <w:rsid w:val="002915A7"/>
    <w:rsid w:val="00304D9F"/>
    <w:rsid w:val="003160BA"/>
    <w:rsid w:val="0036400F"/>
    <w:rsid w:val="00424231"/>
    <w:rsid w:val="0047496D"/>
    <w:rsid w:val="005959E2"/>
    <w:rsid w:val="005A1476"/>
    <w:rsid w:val="005A2E5B"/>
    <w:rsid w:val="0060662D"/>
    <w:rsid w:val="0066351A"/>
    <w:rsid w:val="006E4F31"/>
    <w:rsid w:val="00881423"/>
    <w:rsid w:val="008B6D00"/>
    <w:rsid w:val="00914DD8"/>
    <w:rsid w:val="00A35AFB"/>
    <w:rsid w:val="00A7172B"/>
    <w:rsid w:val="00A921D4"/>
    <w:rsid w:val="00B624A8"/>
    <w:rsid w:val="00BE6F51"/>
    <w:rsid w:val="00C1556C"/>
    <w:rsid w:val="00E70A2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51A"/>
    <w:rPr>
      <w:rFonts w:cs="Times New Roman"/>
    </w:rPr>
  </w:style>
  <w:style w:type="paragraph" w:styleId="5">
    <w:name w:val="heading 5"/>
    <w:basedOn w:val="a"/>
    <w:link w:val="50"/>
    <w:uiPriority w:val="9"/>
    <w:qFormat/>
    <w:rsid w:val="003160BA"/>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3160BA"/>
    <w:rPr>
      <w:rFonts w:ascii="Times New Roman" w:hAnsi="Times New Roman" w:cs="Times New Roman"/>
      <w:b/>
      <w:bCs/>
      <w:sz w:val="20"/>
      <w:szCs w:val="20"/>
      <w:lang w:eastAsia="ru-RU"/>
    </w:rPr>
  </w:style>
  <w:style w:type="paragraph" w:styleId="a3">
    <w:name w:val="Normal (Web)"/>
    <w:basedOn w:val="a"/>
    <w:uiPriority w:val="99"/>
    <w:semiHidden/>
    <w:unhideWhenUsed/>
    <w:rsid w:val="003160BA"/>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A7172B"/>
    <w:pPr>
      <w:ind w:left="720"/>
      <w:contextualSpacing/>
    </w:pPr>
    <w:rPr>
      <w:rFonts w:eastAsiaTheme="minorEastAsia"/>
      <w:lang w:eastAsia="ru-RU"/>
    </w:rPr>
  </w:style>
  <w:style w:type="paragraph" w:styleId="a5">
    <w:name w:val="header"/>
    <w:basedOn w:val="a"/>
    <w:link w:val="a6"/>
    <w:uiPriority w:val="99"/>
    <w:unhideWhenUsed/>
    <w:rsid w:val="00A35AF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35AFB"/>
    <w:rPr>
      <w:rFonts w:cs="Times New Roman"/>
    </w:rPr>
  </w:style>
  <w:style w:type="paragraph" w:styleId="a7">
    <w:name w:val="footer"/>
    <w:basedOn w:val="a"/>
    <w:link w:val="a8"/>
    <w:uiPriority w:val="99"/>
    <w:unhideWhenUsed/>
    <w:rsid w:val="00A35AF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35AFB"/>
    <w:rPr>
      <w:rFonts w:cs="Times New Roman"/>
    </w:rPr>
  </w:style>
  <w:style w:type="paragraph" w:styleId="a9">
    <w:name w:val="Balloon Text"/>
    <w:basedOn w:val="a"/>
    <w:link w:val="aa"/>
    <w:uiPriority w:val="99"/>
    <w:semiHidden/>
    <w:unhideWhenUsed/>
    <w:rsid w:val="00BE6F5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E6F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29118744">
      <w:marLeft w:val="0"/>
      <w:marRight w:val="0"/>
      <w:marTop w:val="0"/>
      <w:marBottom w:val="0"/>
      <w:divBdr>
        <w:top w:val="none" w:sz="0" w:space="0" w:color="auto"/>
        <w:left w:val="none" w:sz="0" w:space="0" w:color="auto"/>
        <w:bottom w:val="none" w:sz="0" w:space="0" w:color="auto"/>
        <w:right w:val="none" w:sz="0" w:space="0" w:color="auto"/>
      </w:divBdr>
      <w:divsChild>
        <w:div w:id="929118746">
          <w:marLeft w:val="0"/>
          <w:marRight w:val="0"/>
          <w:marTop w:val="0"/>
          <w:marBottom w:val="0"/>
          <w:divBdr>
            <w:top w:val="none" w:sz="0" w:space="0" w:color="auto"/>
            <w:left w:val="none" w:sz="0" w:space="0" w:color="auto"/>
            <w:bottom w:val="none" w:sz="0" w:space="0" w:color="auto"/>
            <w:right w:val="none" w:sz="0" w:space="0" w:color="auto"/>
          </w:divBdr>
        </w:div>
        <w:div w:id="929118747">
          <w:marLeft w:val="0"/>
          <w:marRight w:val="0"/>
          <w:marTop w:val="0"/>
          <w:marBottom w:val="0"/>
          <w:divBdr>
            <w:top w:val="single" w:sz="6" w:space="8" w:color="EEEEEE"/>
            <w:left w:val="single" w:sz="6" w:space="11" w:color="EEEEEE"/>
            <w:bottom w:val="single" w:sz="6" w:space="8" w:color="EEEEEE"/>
            <w:right w:val="single" w:sz="6" w:space="11" w:color="EEEEEE"/>
          </w:divBdr>
        </w:div>
      </w:divsChild>
    </w:div>
    <w:div w:id="92911874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50060-5273-40C8-9B84-AC38F7160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8061</Words>
  <Characters>45950</Characters>
  <Application>Microsoft Office Word</Application>
  <DocSecurity>0</DocSecurity>
  <Lines>382</Lines>
  <Paragraphs>107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53904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9</cp:revision>
  <cp:lastPrinted>2022-02-16T14:52:00Z</cp:lastPrinted>
  <dcterms:created xsi:type="dcterms:W3CDTF">2021-10-19T20:20:00Z</dcterms:created>
  <dcterms:modified xsi:type="dcterms:W3CDTF">2023-02-02T17:35:00Z</dcterms:modified>
</cp:coreProperties>
</file>