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149E" w:rsidRPr="002C149E" w:rsidRDefault="002C149E" w:rsidP="002C149E">
      <w:pPr>
        <w:spacing w:after="0" w:line="322" w:lineRule="atLeast"/>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ODESSA NATIONAL MEDICAL UNIVERSITY</w:t>
      </w:r>
    </w:p>
    <w:p w:rsidR="002C149E" w:rsidRPr="002C149E" w:rsidRDefault="002C149E" w:rsidP="002C149E">
      <w:pPr>
        <w:spacing w:after="0" w:line="322" w:lineRule="atLeast"/>
        <w:jc w:val="center"/>
        <w:outlineLvl w:val="4"/>
        <w:rPr>
          <w:rFonts w:ascii="Times New Roman" w:eastAsia="Times New Roman" w:hAnsi="Times New Roman" w:cs="Times New Roman"/>
          <w:b/>
          <w:bCs/>
          <w:color w:val="000000"/>
          <w:sz w:val="28"/>
          <w:szCs w:val="28"/>
          <w:lang w:val="en-US" w:eastAsia="ru-RU"/>
        </w:rPr>
      </w:pPr>
      <w:r w:rsidRPr="002C149E">
        <w:rPr>
          <w:rFonts w:ascii="Times New Roman" w:eastAsia="Times New Roman" w:hAnsi="Times New Roman" w:cs="Times New Roman"/>
          <w:b/>
          <w:bCs/>
          <w:caps/>
          <w:color w:val="000000"/>
          <w:sz w:val="28"/>
          <w:szCs w:val="28"/>
          <w:lang w:val="en-US" w:eastAsia="ru-RU"/>
        </w:rPr>
        <w:t>DEPARTMENT OF drugs TECHNOLOGY</w:t>
      </w:r>
    </w:p>
    <w:p w:rsidR="002C149E" w:rsidRPr="002C149E" w:rsidRDefault="002C149E" w:rsidP="002C149E">
      <w:pPr>
        <w:spacing w:after="0" w:line="322" w:lineRule="atLeast"/>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w:t>
      </w:r>
    </w:p>
    <w:p w:rsidR="00AE3814" w:rsidRPr="005A59BB" w:rsidRDefault="00AE3814" w:rsidP="00AE3814">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AE3814" w:rsidRPr="005A59BB" w:rsidRDefault="00AE3814" w:rsidP="00AE3814">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AE3814" w:rsidRPr="005A59BB" w:rsidRDefault="00CC4CCF" w:rsidP="00AE3814">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8"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3900" cy="518160"/>
                    </a:xfrm>
                    <a:prstGeom prst="rect">
                      <a:avLst/>
                    </a:prstGeom>
                    <a:noFill/>
                    <a:ln>
                      <a:noFill/>
                    </a:ln>
                  </pic:spPr>
                </pic:pic>
              </a:graphicData>
            </a:graphic>
          </wp:inline>
        </w:drawing>
      </w:r>
      <w:r w:rsidR="00AE3814" w:rsidRPr="005A59BB">
        <w:rPr>
          <w:rFonts w:ascii="Times New Roman" w:hAnsi="Times New Roman"/>
          <w:color w:val="000000"/>
          <w:sz w:val="28"/>
          <w:szCs w:val="28"/>
          <w:lang w:val="en-US" w:eastAsia="ru-RU"/>
        </w:rPr>
        <w:t>(BorisyukI.Yu.)</w:t>
      </w:r>
    </w:p>
    <w:p w:rsidR="00AE3814" w:rsidRPr="005A59BB" w:rsidRDefault="00AE3814" w:rsidP="00AE3814">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AE3814" w:rsidRPr="005A59BB" w:rsidRDefault="00F27FB4" w:rsidP="00AE3814">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w:t>
      </w:r>
      <w:r>
        <w:rPr>
          <w:rFonts w:ascii="Times New Roman" w:hAnsi="Times New Roman"/>
          <w:color w:val="000000"/>
          <w:sz w:val="28"/>
          <w:szCs w:val="28"/>
          <w:lang w:val="uk-UA" w:eastAsia="ru-RU"/>
        </w:rPr>
        <w:t>6</w:t>
      </w:r>
      <w:r w:rsidR="00AE3814" w:rsidRPr="005A59BB">
        <w:rPr>
          <w:rFonts w:ascii="Times New Roman" w:hAnsi="Times New Roman"/>
          <w:color w:val="000000"/>
          <w:sz w:val="28"/>
          <w:szCs w:val="28"/>
          <w:lang w:val="en-US" w:eastAsia="ru-RU"/>
        </w:rPr>
        <w:t>»</w:t>
      </w:r>
      <w:r w:rsidR="00AE3814">
        <w:rPr>
          <w:rFonts w:ascii="Times New Roman" w:hAnsi="Times New Roman"/>
          <w:color w:val="000000"/>
          <w:sz w:val="28"/>
          <w:szCs w:val="28"/>
          <w:lang w:val="en-US" w:eastAsia="ru-RU"/>
        </w:rPr>
        <w:t xml:space="preserve"> a</w:t>
      </w:r>
      <w:r w:rsidR="00AE3814"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w:t>
      </w:r>
      <w:r>
        <w:rPr>
          <w:rFonts w:ascii="Times New Roman" w:hAnsi="Times New Roman"/>
          <w:color w:val="000000"/>
          <w:sz w:val="28"/>
          <w:szCs w:val="28"/>
          <w:lang w:val="uk-UA" w:eastAsia="ru-RU"/>
        </w:rPr>
        <w:t>2</w:t>
      </w:r>
      <w:r w:rsidR="00AE3814">
        <w:rPr>
          <w:rFonts w:ascii="Times New Roman" w:hAnsi="Times New Roman"/>
          <w:color w:val="000000"/>
          <w:sz w:val="28"/>
          <w:szCs w:val="28"/>
          <w:lang w:val="en-US" w:eastAsia="ru-RU"/>
        </w:rPr>
        <w:t xml:space="preserve"> y.</w:t>
      </w:r>
    </w:p>
    <w:p w:rsidR="002C149E" w:rsidRPr="002C149E" w:rsidRDefault="002C149E" w:rsidP="002C149E">
      <w:pPr>
        <w:spacing w:after="0" w:line="322" w:lineRule="atLeast"/>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w:t>
      </w:r>
    </w:p>
    <w:p w:rsidR="002C149E" w:rsidRPr="002C149E" w:rsidRDefault="002C149E" w:rsidP="002C149E">
      <w:pPr>
        <w:spacing w:after="0" w:line="322" w:lineRule="atLeast"/>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 </w:t>
      </w:r>
    </w:p>
    <w:p w:rsidR="002C149E" w:rsidRPr="002C149E" w:rsidRDefault="002C149E" w:rsidP="002C149E">
      <w:pPr>
        <w:spacing w:after="0" w:line="322" w:lineRule="atLeast"/>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 </w:t>
      </w:r>
    </w:p>
    <w:p w:rsidR="002C149E" w:rsidRPr="002C149E" w:rsidRDefault="002C149E" w:rsidP="002C149E">
      <w:pPr>
        <w:spacing w:after="0" w:line="240" w:lineRule="auto"/>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METHODICAL DEVELOPMENT OF PRACTICAL LESSON</w:t>
      </w:r>
    </w:p>
    <w:p w:rsidR="002C149E" w:rsidRPr="002C149E" w:rsidRDefault="002C149E" w:rsidP="002C149E">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w:t>
      </w:r>
    </w:p>
    <w:p w:rsidR="002C149E" w:rsidRPr="002C149E" w:rsidRDefault="002C149E" w:rsidP="002C149E">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Course: </w:t>
      </w:r>
      <w:r w:rsidRPr="002C149E">
        <w:rPr>
          <w:rFonts w:ascii="Times New Roman" w:eastAsia="Times New Roman" w:hAnsi="Times New Roman" w:cs="Times New Roman"/>
          <w:color w:val="000000"/>
          <w:sz w:val="28"/>
          <w:szCs w:val="28"/>
          <w:u w:val="single"/>
          <w:lang w:val="en-US" w:eastAsia="ru-RU"/>
        </w:rPr>
        <w:t>5</w:t>
      </w:r>
      <w:r w:rsidRPr="002C149E">
        <w:rPr>
          <w:rFonts w:ascii="Lucida Console" w:eastAsia="Times New Roman" w:hAnsi="Lucida Console" w:cs="Times New Roman"/>
          <w:color w:val="000000"/>
          <w:sz w:val="28"/>
          <w:szCs w:val="28"/>
          <w:u w:val="single"/>
          <w:lang w:val="en-US" w:eastAsia="ru-RU"/>
        </w:rPr>
        <w:t> </w:t>
      </w:r>
      <w:r w:rsidRPr="002C149E">
        <w:rPr>
          <w:rFonts w:ascii="Times New Roman" w:eastAsia="Times New Roman" w:hAnsi="Times New Roman" w:cs="Times New Roman"/>
          <w:color w:val="000000"/>
          <w:sz w:val="28"/>
          <w:szCs w:val="28"/>
          <w:lang w:val="en-US" w:eastAsia="ru-RU"/>
        </w:rPr>
        <w:t>Faculty: </w:t>
      </w:r>
      <w:r w:rsidRPr="002C149E">
        <w:rPr>
          <w:rFonts w:ascii="Times New Roman" w:eastAsia="Times New Roman" w:hAnsi="Times New Roman" w:cs="Times New Roman"/>
          <w:color w:val="000000"/>
          <w:sz w:val="28"/>
          <w:szCs w:val="28"/>
          <w:u w:val="single"/>
          <w:lang w:val="en-US" w:eastAsia="ru-RU"/>
        </w:rPr>
        <w:t>Pharmaceutical</w:t>
      </w:r>
    </w:p>
    <w:p w:rsidR="002C149E" w:rsidRPr="002C149E" w:rsidRDefault="002C149E" w:rsidP="002C149E">
      <w:pPr>
        <w:spacing w:after="0" w:line="240" w:lineRule="auto"/>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 </w:t>
      </w:r>
    </w:p>
    <w:p w:rsidR="002C149E" w:rsidRPr="002C149E" w:rsidRDefault="002C149E" w:rsidP="002C149E">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Course Biopharmacy</w:t>
      </w:r>
    </w:p>
    <w:p w:rsidR="002C149E" w:rsidRPr="002C149E" w:rsidRDefault="002C149E" w:rsidP="002C149E">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w:t>
      </w:r>
    </w:p>
    <w:p w:rsidR="002C149E" w:rsidRPr="00AE3814" w:rsidRDefault="00AE3814" w:rsidP="002C149E">
      <w:pPr>
        <w:spacing w:after="0" w:line="240" w:lineRule="auto"/>
        <w:jc w:val="both"/>
        <w:rPr>
          <w:rFonts w:ascii="Times New Roman" w:eastAsia="Times New Roman" w:hAnsi="Times New Roman" w:cs="Times New Roman"/>
          <w:color w:val="000000"/>
          <w:sz w:val="28"/>
          <w:szCs w:val="28"/>
          <w:lang w:val="uk-UA" w:eastAsia="ru-RU"/>
        </w:rPr>
      </w:pPr>
      <w:r>
        <w:rPr>
          <w:rFonts w:ascii="Times New Roman" w:eastAsia="Times New Roman" w:hAnsi="Times New Roman" w:cs="Times New Roman"/>
          <w:color w:val="000000"/>
          <w:sz w:val="28"/>
          <w:szCs w:val="28"/>
          <w:lang w:val="en-US" w:eastAsia="ru-RU"/>
        </w:rPr>
        <w:t xml:space="preserve">Practical lesson №8 Topic: </w:t>
      </w:r>
      <w:r>
        <w:rPr>
          <w:rFonts w:ascii="Times New Roman" w:eastAsia="Times New Roman" w:hAnsi="Times New Roman" w:cs="Times New Roman"/>
          <w:color w:val="000000"/>
          <w:sz w:val="28"/>
          <w:szCs w:val="28"/>
          <w:lang w:val="uk-UA" w:eastAsia="ru-RU"/>
        </w:rPr>
        <w:t>«</w:t>
      </w:r>
      <w:r w:rsidR="002C149E" w:rsidRPr="002C149E">
        <w:rPr>
          <w:rFonts w:ascii="Times New Roman" w:eastAsia="Times New Roman" w:hAnsi="Times New Roman" w:cs="Times New Roman"/>
          <w:b/>
          <w:bCs/>
          <w:color w:val="000000"/>
          <w:sz w:val="28"/>
          <w:szCs w:val="28"/>
          <w:lang w:val="en-US" w:eastAsia="ru-RU"/>
        </w:rPr>
        <w:t>Bioequivalence of dru</w:t>
      </w:r>
      <w:r>
        <w:rPr>
          <w:rFonts w:ascii="Times New Roman" w:eastAsia="Times New Roman" w:hAnsi="Times New Roman" w:cs="Times New Roman"/>
          <w:b/>
          <w:bCs/>
          <w:color w:val="000000"/>
          <w:sz w:val="28"/>
          <w:szCs w:val="28"/>
          <w:lang w:val="en-US" w:eastAsia="ru-RU"/>
        </w:rPr>
        <w:t>gs. Bioequivalence assessment.</w:t>
      </w:r>
      <w:r>
        <w:rPr>
          <w:rFonts w:ascii="Times New Roman" w:eastAsia="Times New Roman" w:hAnsi="Times New Roman" w:cs="Times New Roman"/>
          <w:b/>
          <w:bCs/>
          <w:color w:val="000000"/>
          <w:sz w:val="28"/>
          <w:szCs w:val="28"/>
          <w:lang w:val="uk-UA" w:eastAsia="ru-RU"/>
        </w:rPr>
        <w:t>»</w:t>
      </w:r>
    </w:p>
    <w:p w:rsidR="002C149E" w:rsidRPr="002C149E" w:rsidRDefault="002C149E" w:rsidP="002C149E">
      <w:pPr>
        <w:spacing w:after="0" w:line="322" w:lineRule="atLeast"/>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 </w:t>
      </w:r>
    </w:p>
    <w:p w:rsidR="002C149E" w:rsidRPr="002C149E" w:rsidRDefault="002C149E" w:rsidP="002C149E">
      <w:pPr>
        <w:spacing w:after="0" w:line="322" w:lineRule="atLeast"/>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 </w:t>
      </w:r>
    </w:p>
    <w:p w:rsidR="002C149E" w:rsidRPr="002C149E" w:rsidRDefault="002C149E" w:rsidP="002C149E">
      <w:pPr>
        <w:spacing w:after="0" w:line="322" w:lineRule="atLeast"/>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 </w:t>
      </w:r>
    </w:p>
    <w:p w:rsidR="002C149E" w:rsidRPr="002C149E" w:rsidRDefault="002C149E" w:rsidP="002C149E">
      <w:pPr>
        <w:spacing w:after="0" w:line="322" w:lineRule="atLeast"/>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 </w:t>
      </w:r>
    </w:p>
    <w:p w:rsidR="00AE3814" w:rsidRPr="003160BA" w:rsidRDefault="00AE3814" w:rsidP="00AE3814">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AE3814" w:rsidRPr="005A59BB" w:rsidRDefault="00AE3814" w:rsidP="00AE3814">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AE3814" w:rsidRPr="005A59BB" w:rsidRDefault="00CC4CCF" w:rsidP="00AE3814">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10">
                              <a14:imgEffect>
                                <a14:brightnessContrast bright="40000" contrast="-40000"/>
                              </a14:imgEffect>
                            </a14:imgLayer>
                          </a14:imgProps>
                        </a:ex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07720" cy="396240"/>
                    </a:xfrm>
                    <a:prstGeom prst="rect">
                      <a:avLst/>
                    </a:prstGeom>
                    <a:noFill/>
                    <a:ln>
                      <a:noFill/>
                    </a:ln>
                  </pic:spPr>
                </pic:pic>
              </a:graphicData>
            </a:graphic>
          </wp:inline>
        </w:drawing>
      </w:r>
      <w:r w:rsidR="00AE3814">
        <w:rPr>
          <w:rFonts w:ascii="Times New Roman" w:hAnsi="Times New Roman"/>
          <w:color w:val="000000"/>
          <w:sz w:val="28"/>
          <w:szCs w:val="28"/>
          <w:lang w:val="en-US" w:eastAsia="ru-RU"/>
        </w:rPr>
        <w:t>(Fizor. N.S.</w:t>
      </w:r>
      <w:r w:rsidR="00AE3814" w:rsidRPr="005A59BB">
        <w:rPr>
          <w:rFonts w:ascii="Times New Roman" w:hAnsi="Times New Roman"/>
          <w:color w:val="000000"/>
          <w:sz w:val="28"/>
          <w:szCs w:val="28"/>
          <w:lang w:val="en-US" w:eastAsia="ru-RU"/>
        </w:rPr>
        <w:t>)</w:t>
      </w:r>
    </w:p>
    <w:p w:rsidR="00AE3814" w:rsidRPr="005A59BB" w:rsidRDefault="00AE3814" w:rsidP="00AE3814">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AE3814" w:rsidRPr="003160BA" w:rsidRDefault="00AE3814" w:rsidP="00AE3814">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AE3814" w:rsidRPr="005A59BB" w:rsidRDefault="00F27FB4" w:rsidP="00AE3814">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w:t>
      </w:r>
      <w:r>
        <w:rPr>
          <w:rFonts w:ascii="Times New Roman" w:hAnsi="Times New Roman"/>
          <w:color w:val="000000"/>
          <w:sz w:val="28"/>
          <w:szCs w:val="28"/>
          <w:lang w:val="uk-UA" w:eastAsia="ru-RU"/>
        </w:rPr>
        <w:t>9</w:t>
      </w:r>
      <w:r w:rsidR="00AE3814" w:rsidRPr="005A59BB">
        <w:rPr>
          <w:rFonts w:ascii="Times New Roman" w:hAnsi="Times New Roman"/>
          <w:color w:val="000000"/>
          <w:sz w:val="28"/>
          <w:szCs w:val="28"/>
          <w:lang w:val="en-US" w:eastAsia="ru-RU"/>
        </w:rPr>
        <w:t>»</w:t>
      </w:r>
      <w:r w:rsidR="00AE3814">
        <w:rPr>
          <w:rFonts w:ascii="Times New Roman" w:hAnsi="Times New Roman"/>
          <w:color w:val="000000"/>
          <w:sz w:val="28"/>
          <w:szCs w:val="28"/>
          <w:lang w:val="en-US" w:eastAsia="ru-RU"/>
        </w:rPr>
        <w:t xml:space="preserve"> a</w:t>
      </w:r>
      <w:r w:rsidR="00AE3814"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AE3814">
        <w:rPr>
          <w:rFonts w:ascii="Times New Roman" w:hAnsi="Times New Roman"/>
          <w:color w:val="000000"/>
          <w:sz w:val="28"/>
          <w:szCs w:val="28"/>
          <w:lang w:val="en-US" w:eastAsia="ru-RU"/>
        </w:rPr>
        <w:t xml:space="preserve"> y.</w:t>
      </w:r>
    </w:p>
    <w:p w:rsidR="00AE3814" w:rsidRPr="003160BA" w:rsidRDefault="00AE3814" w:rsidP="00AE3814">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AE3814" w:rsidRPr="003160BA" w:rsidRDefault="00AE3814" w:rsidP="00AE3814">
      <w:pPr>
        <w:spacing w:after="0" w:line="322" w:lineRule="atLeast"/>
        <w:ind w:firstLine="5103"/>
        <w:jc w:val="both"/>
        <w:rPr>
          <w:rFonts w:ascii="Calibri" w:hAnsi="Calibri" w:cs="Calibri"/>
          <w:color w:val="000000"/>
          <w:sz w:val="28"/>
          <w:szCs w:val="28"/>
          <w:lang w:val="en-US" w:eastAsia="ru-RU"/>
        </w:rPr>
      </w:pPr>
    </w:p>
    <w:p w:rsidR="002C149E" w:rsidRPr="002C149E" w:rsidRDefault="002C149E" w:rsidP="002C149E">
      <w:pPr>
        <w:spacing w:after="0" w:line="322" w:lineRule="atLeast"/>
        <w:ind w:firstLine="5812"/>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w:t>
      </w:r>
    </w:p>
    <w:p w:rsidR="002C149E" w:rsidRPr="002C149E" w:rsidRDefault="002C149E" w:rsidP="002C149E">
      <w:pPr>
        <w:spacing w:after="0" w:line="322" w:lineRule="atLeast"/>
        <w:ind w:firstLine="5812"/>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w:t>
      </w:r>
    </w:p>
    <w:p w:rsidR="002C149E" w:rsidRPr="002C149E" w:rsidRDefault="002C149E" w:rsidP="002C149E">
      <w:pPr>
        <w:spacing w:after="0" w:line="322" w:lineRule="atLeast"/>
        <w:ind w:firstLine="5812"/>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w:t>
      </w:r>
    </w:p>
    <w:p w:rsidR="002C149E" w:rsidRPr="002C149E" w:rsidRDefault="002C149E" w:rsidP="002C149E">
      <w:pPr>
        <w:spacing w:after="0" w:line="322" w:lineRule="atLeast"/>
        <w:ind w:firstLine="5812"/>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w:t>
      </w:r>
    </w:p>
    <w:p w:rsidR="002C149E" w:rsidRPr="002C149E" w:rsidRDefault="002C149E" w:rsidP="002C149E">
      <w:pPr>
        <w:spacing w:after="0" w:line="322" w:lineRule="atLeast"/>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w:t>
      </w:r>
    </w:p>
    <w:p w:rsidR="002C149E" w:rsidRDefault="002C149E" w:rsidP="002C149E">
      <w:pPr>
        <w:spacing w:after="0" w:line="322" w:lineRule="atLeast"/>
        <w:jc w:val="both"/>
        <w:rPr>
          <w:rFonts w:ascii="Times New Roman" w:eastAsia="Times New Roman" w:hAnsi="Times New Roman" w:cs="Times New Roman"/>
          <w:color w:val="000000"/>
          <w:sz w:val="28"/>
          <w:szCs w:val="28"/>
          <w:lang w:val="en-US" w:eastAsia="ru-RU"/>
        </w:rPr>
      </w:pPr>
    </w:p>
    <w:p w:rsidR="00AE3814" w:rsidRPr="002C149E" w:rsidRDefault="00AE3814" w:rsidP="002C149E">
      <w:pPr>
        <w:spacing w:after="0" w:line="322" w:lineRule="atLeast"/>
        <w:jc w:val="both"/>
        <w:rPr>
          <w:rFonts w:ascii="Times New Roman" w:eastAsia="Times New Roman" w:hAnsi="Times New Roman" w:cs="Times New Roman"/>
          <w:color w:val="000000"/>
          <w:sz w:val="28"/>
          <w:szCs w:val="28"/>
          <w:lang w:val="en-US" w:eastAsia="ru-RU"/>
        </w:rPr>
      </w:pPr>
    </w:p>
    <w:p w:rsidR="002C149E" w:rsidRPr="002C149E" w:rsidRDefault="002C149E" w:rsidP="002C149E">
      <w:pPr>
        <w:spacing w:after="0" w:line="322" w:lineRule="atLeast"/>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w:t>
      </w:r>
    </w:p>
    <w:p w:rsidR="002C149E" w:rsidRPr="002C149E" w:rsidRDefault="00CF136E" w:rsidP="00AE3814">
      <w:pPr>
        <w:spacing w:after="0" w:line="322" w:lineRule="atLeast"/>
        <w:jc w:val="cente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val="en-US" w:eastAsia="ru-RU"/>
        </w:rPr>
        <w:lastRenderedPageBreak/>
        <w:t>Ode</w:t>
      </w:r>
      <w:r w:rsidR="00F27FB4">
        <w:rPr>
          <w:rFonts w:ascii="Times New Roman" w:eastAsia="Times New Roman" w:hAnsi="Times New Roman" w:cs="Times New Roman"/>
          <w:color w:val="000000"/>
          <w:sz w:val="28"/>
          <w:szCs w:val="28"/>
          <w:lang w:val="en-US" w:eastAsia="ru-RU"/>
        </w:rPr>
        <w:t>sa – 202</w:t>
      </w:r>
      <w:r w:rsidR="00F27FB4">
        <w:rPr>
          <w:rFonts w:ascii="Times New Roman" w:eastAsia="Times New Roman" w:hAnsi="Times New Roman" w:cs="Times New Roman"/>
          <w:color w:val="000000"/>
          <w:sz w:val="28"/>
          <w:szCs w:val="28"/>
          <w:lang w:val="uk-UA" w:eastAsia="ru-RU"/>
        </w:rPr>
        <w:t>2</w:t>
      </w:r>
      <w:bookmarkStart w:id="0" w:name="_GoBack"/>
      <w:bookmarkEnd w:id="0"/>
      <w:r w:rsidR="002C149E" w:rsidRPr="002C149E">
        <w:rPr>
          <w:rFonts w:ascii="Times New Roman" w:eastAsia="Times New Roman" w:hAnsi="Times New Roman" w:cs="Times New Roman"/>
          <w:color w:val="000000"/>
          <w:sz w:val="28"/>
          <w:szCs w:val="28"/>
          <w:lang w:val="en-US" w:eastAsia="ru-RU"/>
        </w:rPr>
        <w:br w:type="page"/>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lastRenderedPageBreak/>
        <w:t>The purpose of the lesson: </w:t>
      </w:r>
      <w:r w:rsidRPr="002C149E">
        <w:rPr>
          <w:rFonts w:ascii="Times New Roman" w:eastAsia="Times New Roman" w:hAnsi="Times New Roman" w:cs="Times New Roman"/>
          <w:color w:val="000000"/>
          <w:sz w:val="28"/>
          <w:szCs w:val="28"/>
          <w:lang w:val="en-US" w:eastAsia="ru-RU"/>
        </w:rPr>
        <w:t>to study the influence of technological factors on the dissolution rate of tablets and the stability of injectable solutions, as well as the therapeutic equivalence of drugs.</w:t>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Basic concepts: </w:t>
      </w:r>
      <w:r w:rsidRPr="002C149E">
        <w:rPr>
          <w:rFonts w:ascii="Times New Roman" w:eastAsia="Times New Roman" w:hAnsi="Times New Roman" w:cs="Times New Roman"/>
          <w:color w:val="000000"/>
          <w:sz w:val="28"/>
          <w:szCs w:val="28"/>
          <w:lang w:val="en-US" w:eastAsia="ru-RU"/>
        </w:rPr>
        <w:t>bioequivalence</w:t>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Equipment: </w:t>
      </w:r>
      <w:r w:rsidRPr="002C149E">
        <w:rPr>
          <w:rFonts w:ascii="Times New Roman" w:eastAsia="Times New Roman" w:hAnsi="Times New Roman" w:cs="Times New Roman"/>
          <w:color w:val="000000"/>
          <w:sz w:val="28"/>
          <w:szCs w:val="28"/>
          <w:lang w:val="en-US" w:eastAsia="ru-RU"/>
        </w:rPr>
        <w:t>according to the requirements of Good Pharmacy Practice (GPP).</w:t>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Study time: 2.0</w:t>
      </w:r>
    </w:p>
    <w:p w:rsidR="002C149E" w:rsidRPr="002C149E" w:rsidRDefault="002C149E" w:rsidP="00AE3814">
      <w:pPr>
        <w:spacing w:after="0" w:line="240" w:lineRule="auto"/>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Plan</w:t>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 </w:t>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I. Organizational moment.</w:t>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ІІ. Control of basic knowledge</w:t>
      </w:r>
    </w:p>
    <w:p w:rsidR="002C149E" w:rsidRPr="002C149E" w:rsidRDefault="002C149E" w:rsidP="00AE3814">
      <w:pPr>
        <w:spacing w:after="0" w:line="240" w:lineRule="auto"/>
        <w:ind w:left="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2.1. Requirements for theoretical readiness of students to perform practical classes (knowledge requirements, list of didactic units):</w:t>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Requirements for theoretical knowledge: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concept of bioequivalence is closely related to the concept of bioequivalence. Two drugs are considered bioequivalent if they provide the same bioavailability of the drug after administration in the same dose and the same dosage form. According to the WHO regulations (1994, 1996) and the EU (1992), the differences in pharmacokinetic parameters for bioequivalent drugs should not exceed 20%.</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Currently, the study of bioequivalence is the main type of medical and biological quality control of generic drugs. The introduction of the definition of bioequivalence as a method allows to make a reasonable conclusion about the quality, efficacy and safety of comparable drugs on the basis of a smaller amount of primary information and in a shorter time than in clinical trials.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To date, there are regulations for studying the bioequivalence of the WHO (1996), the EU (1992), They set out the main rationale for the need for bioequivalence studies. These studies must be performed if there is a risk of lack of bioequivalence or a risk of reduced pharmacotherapeutic action and clinical safety of the drug.</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For example, drugs for the treatment of conditions that require a guaranteed therapeutic effect must be evaluated; drugs with a small therapeutic breadth; drugs whose pharmacokinetics are complicated by a decrease in absorption of less than 70% or with high elimination (more than 79%); drugs with unsatisfactory physicochemical properties (low solubility, instability, polymorphism); drugs with documented evidence of a bioavailability problem.</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Bioequivalence studies (pharmacokinetic equivalence) should in no way be considered as an alternative to pharmaceutical equivalence testing - the equivalence of generic drugs in terms of qualitative and quantitative composition of drugs assessed by pharmacopoeial tests, as pharmaceutical equivalence does not guarantee equivalence. However, bioequivalence studies suggest that the bioequivalence of the original generic drugs provide the same efficacy and safety of pharmacotherapy, ie are therapeutic equivalents.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lastRenderedPageBreak/>
        <w:t>Assessment of bioequivalence is based on the results of studying the relative bioavailability of the drug in the compared drugs. In essence, bioequivalence studies are a special type of pharmacokinetic study. First of all, it should be emphasized that the study of bioequivalence is a clinical trial where the subject of the study is a person. Therefore, such studies are subject to all the official requirements and regulations as for all other clinical trials. A team of specialists of various profiles should plan and conduct research to determine bioequivalence: clinical pharmacologists, clinicians, biochemists, chemists-analysts. The study of bioequivalence should be conducted in full compliance with the principles of "Good Clinical Practice" (GLP) in order to guarantee the quality of data presented and protect the rights, health and well-being of subjects.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Animal bioequivalence studies have not been widely accepted and are practically not used. They are used only at the stage of preclinical studies or in the case of the study of drugs intended for use in veterinary medicine. Typically, the term "bioequivalence" in this case is replaced by the term "pharmacokinetic equivalence".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In determining the equivalence of antimicrobial drugs, it is possible to use in vitro methods, but in this case the term "bioequivalence" should not be used.</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Currently in Ukraine there is a sufficient material and technical base, highly effective methods are used to determine pharmacokinetic parameters, training in the field of bioequivalence research, which allows to solve the urgent problem of assessing the effectiveness and safety of generic drugs of domestic and foreign production.</w:t>
      </w:r>
    </w:p>
    <w:p w:rsidR="002C149E" w:rsidRPr="002C149E" w:rsidRDefault="002C149E" w:rsidP="00AE3814">
      <w:pPr>
        <w:spacing w:after="0" w:line="240" w:lineRule="auto"/>
        <w:ind w:firstLine="567"/>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Objects of bioequivalence research</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objects of bioequivalence studies are generic drugs intended for extravascular administration (oral, sublingual, etc.), provided that the action of these drugs indirectly appears drug in the systemic circulation. As a reference drug, the corresponding original drug or its analogue, which has found wide medical application (preferably one produced under the license of the authors of the original drug), should be used.</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In some cases, equivalent confirmation is not required. For example, for pharmaceutical analogues of permitted means of systemic action in the form of solutions - injectable solutions, solutions for external use, eye drops.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For drugs to which the concept of bioavailability cannot be applied (drugs of non-systemic action - external, ocular, vaginal, etc.), it is recommended to conduct comparative clinical or pharmacodynamic studies.</w:t>
      </w:r>
    </w:p>
    <w:p w:rsidR="002C149E" w:rsidRPr="002C149E" w:rsidRDefault="002C149E" w:rsidP="00AE3814">
      <w:pPr>
        <w:spacing w:after="0" w:line="240" w:lineRule="auto"/>
        <w:ind w:firstLine="567"/>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Contingent of subjects in the study of bioequivalence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xml:space="preserve">Given the fact that the parameters of bioavailability can be significantly influenced by individual anatomical and physiological features, the contingent of subjects in the study of bioequivalence should be as homogeneous as possible. To reduce the scatter of the data obtained, drug trials are performed on healthy volunteers. Persons of both sexes between the ages of 18 and 55 may be involved. The body weight of the subjects should not exceed 20% of the age physiological norm for this sex. Preferably, the subjects were non-smokers. Before </w:t>
      </w:r>
      <w:r w:rsidRPr="002C149E">
        <w:rPr>
          <w:rFonts w:ascii="Times New Roman" w:eastAsia="Times New Roman" w:hAnsi="Times New Roman" w:cs="Times New Roman"/>
          <w:color w:val="000000"/>
          <w:sz w:val="28"/>
          <w:szCs w:val="28"/>
          <w:lang w:val="en-US" w:eastAsia="ru-RU"/>
        </w:rPr>
        <w:lastRenderedPageBreak/>
        <w:t>the start of the study, it is necessary to conduct a thorough history, as well as examine the subjects with standard laboratory tests to exclude persons with dysfunction of the elimination organs (liver, kidneys) and the cardiovascular system. Before and during the tests, you can perform special medical examinations, the need for which is due to the peculiarities of the pharmacological properties of the study drug.</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In some cases, patients with certain diseases are included in the study group instead of healthy volunteers. This situation can occur if the study drug has known side effects and the health of volunteers can be seriously damaged (for example, the study of drugs used in oncology, in the treatment of HIV, etc.).</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minimum number of subjects required to study bioequivalence is 12 people. The bank of volunteers that meet the above criteria is formed taking into account the participation of candidates in other studies and donations. The minimum interval between participation in other studies and donation is 3 months. All volunteers must be informed of the objectives and test procedure, which is documented in a special "informed consent".</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planning and conduct of the study should be based on knowledge of the pharmacokinetics and pharmacodynamics of the investigational drug substance.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2 weeks before the start of the test, volunteers are invited to re-collect medical history. If in the period preceding the interview, the volunteer has suffered any diseases that may affect the results of the study, he is not included in the group of subjects.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In preparation for the study is carried out so ¬ selection of backups in case of unforeseen replacement of the study of volunteers. The number of backups is 25% of the number of volunteers.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Standard conditions must be created for all subjects, namely:</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Food and water regime (standard diet for 1 day before the study and throughout its implementation);</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Complete exclusion of any other drugs within 2 days before taking the study drugs and during the pharmacokinetic study;</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Exclusion of alcohol, caffeine, drugs, concentrated juices;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Standard motor mode and day mode. The state of health of volunteers, their compliance with the regime,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The organization of nutrition, the correctness of blood sampling and their processing are controlled by researchers-clinicians.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Bioequivalence studies are performed with a single dosage (preferably the largest) of this generic drug in this dosage form, even if it is declared for registration in several dosages. In cases of prolonged-release dosage forms, bioequivalence should be checked for each dose separately. Assessment of bioequivalence can be based both on the data obtained with a single injection of drugs, and with their repeated (course) use. In the latter case, it is necessary that the subjects received the drugs in the same single dose with the same dosage interval (according to the instructions for medical use of this drug) until steady state.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lastRenderedPageBreak/>
        <w:t>The peculiarity of the design of bioequivalence studies is that each of the subjects receives both the study drug and the comparison drug. When selecting volunteers for groups, the cross-method with a randomized distribution of volunteers is preferred.</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time interval between administration of the study drug and the comparison drug depends on the duration of circulation of the drug in the body and should be at least half-life (T 1/2). Volunteers spend time at home after the first period of the study before the start of the second period, but must adhere to the established regime during this period.</w:t>
      </w:r>
    </w:p>
    <w:p w:rsidR="002C149E" w:rsidRPr="002C149E" w:rsidRDefault="002C149E" w:rsidP="00AE3814">
      <w:pPr>
        <w:spacing w:after="0" w:line="240" w:lineRule="auto"/>
        <w:ind w:firstLine="567"/>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Blood sampling in the study of bioequivalence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biomaterial in which the drug concentration should be determined in bioequivalence studies is plasma, serum or whole blood. The sampling scheme, as in any pharmacokinetic study, is determined by the shape of the curve "drug concentration - time". The more complex the form, the more often samples should be taken. The sampling time should provide for obtaining for each fragment a pharmacokinetic curve of several points - at least two for the phase of the initial increase in concentration and at least five - for the phase of its decrease. The total duration of monitoring the concentration of the drug should be at least 4 times longer than the half-life.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following conditions must be strictly adhered to when taking blood samples:</w:t>
      </w:r>
    </w:p>
    <w:p w:rsidR="002C149E" w:rsidRPr="002C149E" w:rsidRDefault="002C149E" w:rsidP="00AE3814">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blood is taken from the ulnar vein through a special cubital catheter;</w:t>
      </w:r>
    </w:p>
    <w:p w:rsidR="002C149E" w:rsidRPr="002C149E" w:rsidRDefault="002C149E" w:rsidP="00AE3814">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the first portion of blood (initial, ie before taking the drug) is taken in the morning on an empty stomach 5-10 minutes after installation of the catheter in the ulnar vein;</w:t>
      </w:r>
    </w:p>
    <w:p w:rsidR="002C149E" w:rsidRPr="002C149E" w:rsidRDefault="002C149E" w:rsidP="00AE3814">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the time of sampling corresponds to the study program and depends on the pharmacokinetics of the study drug;</w:t>
      </w:r>
    </w:p>
    <w:p w:rsidR="002C149E" w:rsidRPr="002C149E" w:rsidRDefault="002C149E" w:rsidP="00AE3814">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blood samples are carefully labeled (test code, sample number and drug name);</w:t>
      </w:r>
    </w:p>
    <w:p w:rsidR="002C149E" w:rsidRPr="002C149E" w:rsidRDefault="002C149E" w:rsidP="00AE3814">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the time interval between blood sampling and treatment should not exceed 5 minutes;</w:t>
      </w:r>
    </w:p>
    <w:p w:rsidR="002C149E" w:rsidRPr="002C149E" w:rsidRDefault="002C149E" w:rsidP="00AE3814">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plasma or serum samples should be stored at a temperature not exceeding -20 ° C;</w:t>
      </w:r>
    </w:p>
    <w:p w:rsidR="002C149E" w:rsidRPr="002C149E" w:rsidRDefault="002C149E" w:rsidP="00AE3814">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the first meal is allowed no earlier than 4 hours after taking the drug;</w:t>
      </w:r>
    </w:p>
    <w:p w:rsidR="002C149E" w:rsidRPr="002C149E" w:rsidRDefault="002C149E" w:rsidP="00AE3814">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 the event of unforeseen situations, excluding the possibility of blood sampling in the prescribed interval, work with the data of the subject pro-continued, but the encrypted test tube remains empty.</w:t>
      </w:r>
    </w:p>
    <w:p w:rsidR="002C149E" w:rsidRPr="002C149E" w:rsidRDefault="002C149E" w:rsidP="00AE3814">
      <w:pPr>
        <w:spacing w:after="0" w:line="240" w:lineRule="auto"/>
        <w:ind w:firstLine="567"/>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Methods for determining the concentration of drugs in a blood sample in the study of bioequivalence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xml:space="preserve">Different methods (physicochemical, immunological, microbiological and others) can be used to determine the concentration of drugs in plasma, serum or whole blood, provides the ability to reliably monitor the concentration of the drug </w:t>
      </w:r>
      <w:r w:rsidRPr="002C149E">
        <w:rPr>
          <w:rFonts w:ascii="Times New Roman" w:eastAsia="Times New Roman" w:hAnsi="Times New Roman" w:cs="Times New Roman"/>
          <w:color w:val="000000"/>
          <w:sz w:val="28"/>
          <w:szCs w:val="28"/>
          <w:lang w:val="en-US" w:eastAsia="ru-RU"/>
        </w:rPr>
        <w:lastRenderedPageBreak/>
        <w:t>under selected conditions of pharmacokinetic studies, including its duration, and meets the general requirements. selectivity, accuracy, reproducibility.</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If due to presystemic elimination of drugs it is not detected in the blood in an unchanged state and (or) does not have biological activity (prodrug), it is necessary to determine the concentration of the biologically active metabolite, not the prodrug.</w:t>
      </w:r>
    </w:p>
    <w:p w:rsidR="002C149E" w:rsidRPr="002C149E" w:rsidRDefault="002C149E" w:rsidP="00AE3814">
      <w:pPr>
        <w:spacing w:after="0" w:line="240" w:lineRule="auto"/>
        <w:ind w:firstLine="567"/>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Analysis of pharmacokinetic data. Bioequivalence assessment</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Assessment of the bioavailability of the drug or its main biologically active metabolite (if the studied drugs are a prodrug) is based on a comparison of the values ​​of pharmacokinetic parameters obtained by analyzing the curves "concentration C - time t" for the study drug and the comparison drug.</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Individual values ​​of the area under the curves "concentration - time" - AUC (both within the duration of monitoring the concentration of the drug - AUC t, and in the range from 0 to ∞-AUC∞, the maximum concentration Cmax and time to reach tmax should be calculated according to The values ​​of the parameters AUCt, Cmax and t max can be estimated both by model methods (by describing the data "drug concentration - time" by a mathematical model) and by extramodel methods ( the highest of the measured values ​​of concentration - Cmax and the corresponding time of the observed maximum - tmax) .The value of AUC is calculated using the method of ordinary or logarithmic trapezoids. the concentration of the drug in the last sample and the elimination constant, respectively. non-linear curve is described by nonlinear regression analysis or a straight line equation in the coordinates ln C - t, using the method of linear regression.</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With a sufficient follow-up period, when AUCt ≥ 80% AUC∞, the AUCt value should be used to assess the completeness of absorption of the study drug, and under conditions that AUCt &lt;80% AUC∞, the AUC∞ value should be used.</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Further analysis of pharmacokinetic data involves the calculation of individual ratios of AUCt or AUC∞ (respectively f'i f - estimates of compliance with the degree of absorption) and Cmax (f '') for any dosage form, the ratio of Cmax / AUCt or Cmax / AUC∞ as characteristics absorption rates - for conventional forms, and for forms of prolonged action - the differences between the values ​​of Cmax and the minimum concentration Cmin relative to the integral mean concentration Css = AUCt, where t is the duration of monitoring the concentration of the drug substance.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Bioequivalence is assessed by the parameters AUCt or AUC∞, as well as Cmax - for any dosage form, the parameters Cmax / AUCt or Cmax / AUC∞ - for the usual forms and the parameter (Cmax - Cmin) / Css - for forms prolonged action.</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xml:space="preserve">Drugs are considered equivalent if the 90% confidence interval for the geometric mean, calculated for individual relationships logarithmically converted values ​​of each of these pharmacokinetic parameters (except Cmax), for the study drug to those for the comparison drug, is within 0.80 .. 1.25. For Cmax, the corresponding limits are 0.70 ... 1.43. The limits of the above confidence interval are calculated using the strength of two one-sided tests (mainly by the method of Schuirmann) after logarithmic transformation of the values ​​of pharmacokinetic parameters. If the specified confidence interval in the case of AUCt or AUC∞ </w:t>
      </w:r>
      <w:r w:rsidRPr="002C149E">
        <w:rPr>
          <w:rFonts w:ascii="Times New Roman" w:eastAsia="Times New Roman" w:hAnsi="Times New Roman" w:cs="Times New Roman"/>
          <w:color w:val="000000"/>
          <w:sz w:val="28"/>
          <w:szCs w:val="28"/>
          <w:lang w:val="en-US" w:eastAsia="ru-RU"/>
        </w:rPr>
        <w:lastRenderedPageBreak/>
        <w:t>parameters exceeds the established limits, the drugs are considered non-bioequivalent.</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i/>
          <w:iCs/>
          <w:color w:val="000000"/>
          <w:sz w:val="28"/>
          <w:szCs w:val="28"/>
          <w:lang w:val="en-US" w:eastAsia="ru-RU"/>
        </w:rPr>
        <w:t>Combined drugs and principles of their use</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phenomenon of drug interaction in practice is used in the appointment of combined drugs.</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i/>
          <w:iCs/>
          <w:color w:val="000000"/>
          <w:sz w:val="28"/>
          <w:szCs w:val="28"/>
          <w:shd w:val="clear" w:color="auto" w:fill="FFFFFF"/>
          <w:lang w:val="en-US" w:eastAsia="ru-RU"/>
        </w:rPr>
        <w:t>Combined drugs </w:t>
      </w:r>
      <w:r w:rsidRPr="002C149E">
        <w:rPr>
          <w:rFonts w:ascii="Times New Roman" w:eastAsia="Times New Roman" w:hAnsi="Times New Roman" w:cs="Times New Roman"/>
          <w:color w:val="000000"/>
          <w:sz w:val="28"/>
          <w:szCs w:val="28"/>
          <w:lang w:val="en-US" w:eastAsia="ru-RU"/>
        </w:rPr>
        <w:t>are dosage forms containing two or more active pharmacological substances. A similar concept - combination therapy involves the simultaneous use of two or more monocomponent drugs.</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main goal is to increase efficiency and, in some cases, improve portability.</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share of combined drugs in the range of pharmacies is about 20% of the names. They are characterized by both advantages and disadvantages. The "subjective" advantages include: ease of use for the patient (eliminates the need to make complex combinations of different tablets); psychological and social comfort (it is much easier to swallow one pill than several, at work, in a public place, etc.); in most cases, the price of combined drugs is lower than the total price of single drugs.</w:t>
      </w:r>
    </w:p>
    <w:p w:rsidR="002C149E" w:rsidRPr="002C149E" w:rsidRDefault="002C149E" w:rsidP="00AE3814">
      <w:pPr>
        <w:spacing w:after="0" w:line="240" w:lineRule="auto"/>
        <w:ind w:firstLine="9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objective advantages of combined drugs include potentiation of action due to the unidirectional effect of the ingredients, and by reducing the inactivation of the drug in the body and creating conditions for one ingredient to show the effect of another (combination of antibiotics and lactamase inhibitors). Also, when taking such drugs there is a reduction in the risk of side effects.</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disadvantages of combined drugs are the fixed ratio of active pharmacological substances (does not allow, if necessary, to change the dose of one ingredient); impossibility of multidirectional combination with food (before, after or during food).</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Currently, the manufacture of finished combination drugs is a complex process that includes multifaceted pharmacological, toxicological, pharmacokinetic, technological and other studies.</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Pharmacological studies should prove the feasibility of introducing into the combined drug of each of its components; determine whether and in which direction the action of the main component changes. It is taken into account that the pharmacological interaction may have the character of synergism and antagonism, and synergism can result in a simple summation of effects (additive action) or potentiation, when the total effect exceeds the simple addition of the effects of each of the components.</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In some cases, there may be a synergy-antagonism, in which some effects of the components are enhanced and others are weakened. All this should be detected during a pharmacological study.</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xml:space="preserve">The mechanism of pharmacological interaction may be related to the effect of individual components on the respective receptors. However, in some cases, the modification of the pharmacological effect may be associated with other factors: improved bioavailability, increased resistance of the main component to the destructive effects of enzymes, various components on metabolic processes, and others. Thus, in modern antiparkinsonian drugs nacom and madopar the action of the </w:t>
      </w:r>
      <w:r w:rsidRPr="002C149E">
        <w:rPr>
          <w:rFonts w:ascii="Times New Roman" w:eastAsia="Times New Roman" w:hAnsi="Times New Roman" w:cs="Times New Roman"/>
          <w:color w:val="000000"/>
          <w:sz w:val="28"/>
          <w:szCs w:val="28"/>
          <w:lang w:val="en-US" w:eastAsia="ru-RU"/>
        </w:rPr>
        <w:lastRenderedPageBreak/>
        <w:t>main component of levodopa is enhanced by the addition of decarboxylation inhibitors and prevent inactivation of the active substance in peripheral tissues.</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Modern ready-made combination drugs are an important contribution to the arsenal of drugs. In some cases, combined drugs facilitate pharmacotherapy, expand its boundaries, eliminate the need for extemporaneous preparation of prescriptions.</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When prescribing any combination drug, it is necessary to know its full composition and take into account the pharmacological properties of each of its components, even if its properties are well known. Some combination drugs with analgesic and anti-inflammatory properties (pentalgin, solpadein), often used for colds, contain codeine, which not only suppresses cough, but also inhibits intestinal motility and can cause constipation with prolonged use. Combined drugs citramon, solpadein contain caffeine and with hypersensitivity and prolonged use can cause irritability, sleep disturbances, and in large doses - convulsive reactions, the development of arrhythmias. Combination preparations containing sympathomimetic amines and may cause an increase in blood pressure.</w:t>
      </w:r>
    </w:p>
    <w:p w:rsidR="002C149E" w:rsidRPr="002C149E" w:rsidRDefault="002C149E" w:rsidP="00AE3814">
      <w:pPr>
        <w:spacing w:after="0" w:line="240" w:lineRule="auto"/>
        <w:ind w:firstLine="600"/>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All the above allows us to formulate the principles of rational combination therapy.</w:t>
      </w:r>
    </w:p>
    <w:p w:rsidR="002C149E" w:rsidRPr="002C149E" w:rsidRDefault="002C149E" w:rsidP="00AE3814">
      <w:pPr>
        <w:numPr>
          <w:ilvl w:val="0"/>
          <w:numId w:val="2"/>
        </w:numPr>
        <w:spacing w:after="0" w:line="240" w:lineRule="auto"/>
        <w:ind w:left="0" w:firstLine="600"/>
        <w:jc w:val="both"/>
        <w:rPr>
          <w:rFonts w:ascii="Times New Roman" w:eastAsia="Times New Roman" w:hAnsi="Times New Roman" w:cs="Times New Roman"/>
          <w:color w:val="000000"/>
          <w:sz w:val="32"/>
          <w:szCs w:val="32"/>
          <w:lang w:val="en-US" w:eastAsia="ru-RU"/>
        </w:rPr>
      </w:pPr>
      <w:r w:rsidRPr="002C149E">
        <w:rPr>
          <w:rFonts w:ascii="Times New Roman" w:eastAsia="Times New Roman" w:hAnsi="Times New Roman" w:cs="Times New Roman"/>
          <w:color w:val="000000"/>
          <w:sz w:val="28"/>
          <w:szCs w:val="28"/>
          <w:lang w:val="en-US" w:eastAsia="ru-RU"/>
        </w:rPr>
        <w:t>Prescribe only those drugs for which the patient has a clear indication.</w:t>
      </w:r>
    </w:p>
    <w:p w:rsidR="002C149E" w:rsidRPr="002C149E" w:rsidRDefault="002C149E" w:rsidP="00AE3814">
      <w:pPr>
        <w:numPr>
          <w:ilvl w:val="0"/>
          <w:numId w:val="2"/>
        </w:numPr>
        <w:spacing w:after="0" w:line="240" w:lineRule="auto"/>
        <w:ind w:left="0" w:firstLine="600"/>
        <w:jc w:val="both"/>
        <w:rPr>
          <w:rFonts w:ascii="Times New Roman" w:eastAsia="Times New Roman" w:hAnsi="Times New Roman" w:cs="Times New Roman"/>
          <w:color w:val="000000"/>
          <w:sz w:val="32"/>
          <w:szCs w:val="32"/>
          <w:lang w:val="en-US" w:eastAsia="ru-RU"/>
        </w:rPr>
      </w:pPr>
      <w:r w:rsidRPr="002C149E">
        <w:rPr>
          <w:rFonts w:ascii="Times New Roman" w:eastAsia="Times New Roman" w:hAnsi="Times New Roman" w:cs="Times New Roman"/>
          <w:color w:val="000000"/>
          <w:sz w:val="28"/>
          <w:szCs w:val="28"/>
          <w:lang w:val="en-US" w:eastAsia="ru-RU"/>
        </w:rPr>
        <w:t>Combination drugs should be prescribed only in case of clear indications for combination therapy.</w:t>
      </w:r>
    </w:p>
    <w:p w:rsidR="002C149E" w:rsidRPr="002C149E" w:rsidRDefault="002C149E" w:rsidP="00AE3814">
      <w:pPr>
        <w:numPr>
          <w:ilvl w:val="0"/>
          <w:numId w:val="2"/>
        </w:numPr>
        <w:spacing w:after="0" w:line="240" w:lineRule="auto"/>
        <w:ind w:left="0" w:firstLine="600"/>
        <w:jc w:val="both"/>
        <w:rPr>
          <w:rFonts w:ascii="Times New Roman" w:eastAsia="Times New Roman" w:hAnsi="Times New Roman" w:cs="Times New Roman"/>
          <w:color w:val="000000"/>
          <w:sz w:val="32"/>
          <w:szCs w:val="32"/>
          <w:lang w:val="en-US" w:eastAsia="ru-RU"/>
        </w:rPr>
      </w:pPr>
      <w:r w:rsidRPr="002C149E">
        <w:rPr>
          <w:rFonts w:ascii="Times New Roman" w:eastAsia="Times New Roman" w:hAnsi="Times New Roman" w:cs="Times New Roman"/>
          <w:color w:val="000000"/>
          <w:sz w:val="28"/>
          <w:szCs w:val="28"/>
          <w:lang w:val="en-US" w:eastAsia="ru-RU"/>
        </w:rPr>
        <w:t>Use combination drugs only in the case of "typical" course of the disease.</w:t>
      </w:r>
    </w:p>
    <w:p w:rsidR="002C149E" w:rsidRPr="002C149E" w:rsidRDefault="002C149E" w:rsidP="00AE3814">
      <w:pPr>
        <w:numPr>
          <w:ilvl w:val="0"/>
          <w:numId w:val="3"/>
        </w:numPr>
        <w:spacing w:after="0" w:line="240" w:lineRule="auto"/>
        <w:ind w:left="0" w:firstLine="600"/>
        <w:jc w:val="both"/>
        <w:rPr>
          <w:rFonts w:ascii="Times New Roman" w:eastAsia="Times New Roman" w:hAnsi="Times New Roman" w:cs="Times New Roman"/>
          <w:color w:val="000000"/>
          <w:sz w:val="32"/>
          <w:szCs w:val="32"/>
          <w:lang w:val="en-US" w:eastAsia="ru-RU"/>
        </w:rPr>
      </w:pPr>
      <w:r w:rsidRPr="002C149E">
        <w:rPr>
          <w:rFonts w:ascii="Times New Roman" w:eastAsia="Times New Roman" w:hAnsi="Times New Roman" w:cs="Times New Roman"/>
          <w:color w:val="000000"/>
          <w:sz w:val="28"/>
          <w:szCs w:val="28"/>
          <w:lang w:val="en-US" w:eastAsia="ru-RU"/>
        </w:rPr>
        <w:t>Use combination drugs only at the stage of maintenance therapy (not in the acute period of the disease at the stage of selection of adequate doses).</w:t>
      </w:r>
    </w:p>
    <w:p w:rsidR="002C149E" w:rsidRPr="002C149E" w:rsidRDefault="002C149E" w:rsidP="00AE3814">
      <w:pPr>
        <w:numPr>
          <w:ilvl w:val="0"/>
          <w:numId w:val="3"/>
        </w:numPr>
        <w:spacing w:after="0" w:line="240" w:lineRule="auto"/>
        <w:ind w:left="0" w:firstLine="600"/>
        <w:jc w:val="both"/>
        <w:rPr>
          <w:rFonts w:ascii="Times New Roman" w:eastAsia="Times New Roman" w:hAnsi="Times New Roman" w:cs="Times New Roman"/>
          <w:color w:val="000000"/>
          <w:sz w:val="32"/>
          <w:szCs w:val="32"/>
          <w:lang w:val="en-US" w:eastAsia="ru-RU"/>
        </w:rPr>
      </w:pPr>
      <w:r w:rsidRPr="002C149E">
        <w:rPr>
          <w:rFonts w:ascii="Times New Roman" w:eastAsia="Times New Roman" w:hAnsi="Times New Roman" w:cs="Times New Roman"/>
          <w:color w:val="000000"/>
          <w:sz w:val="28"/>
          <w:szCs w:val="28"/>
          <w:lang w:val="en-US" w:eastAsia="ru-RU"/>
        </w:rPr>
        <w:t>Give the patient clear instructions about possible interactions of oral medications with food and other medications.</w:t>
      </w:r>
    </w:p>
    <w:p w:rsidR="002C149E" w:rsidRPr="002C149E" w:rsidRDefault="002C149E" w:rsidP="00AE3814">
      <w:pPr>
        <w:numPr>
          <w:ilvl w:val="0"/>
          <w:numId w:val="3"/>
        </w:numPr>
        <w:spacing w:after="0" w:line="240" w:lineRule="auto"/>
        <w:ind w:left="0" w:firstLine="600"/>
        <w:jc w:val="both"/>
        <w:rPr>
          <w:rFonts w:ascii="Times New Roman" w:eastAsia="Times New Roman" w:hAnsi="Times New Roman" w:cs="Times New Roman"/>
          <w:color w:val="000000"/>
          <w:sz w:val="32"/>
          <w:szCs w:val="32"/>
          <w:lang w:val="en-US" w:eastAsia="ru-RU"/>
        </w:rPr>
      </w:pPr>
      <w:r w:rsidRPr="002C149E">
        <w:rPr>
          <w:rFonts w:ascii="Times New Roman" w:eastAsia="Times New Roman" w:hAnsi="Times New Roman" w:cs="Times New Roman"/>
          <w:color w:val="000000"/>
          <w:sz w:val="28"/>
          <w:szCs w:val="28"/>
          <w:lang w:val="en-US" w:eastAsia="ru-RU"/>
        </w:rPr>
        <w:t>Prefer combined drugs if necessary long-term (lifelong) treatment of "undisciplined" patients.</w:t>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Didactic units: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1. Objects of bioequivalence research</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2. The contingent of subjects in the study of bioequivalence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3. Sampling of blood in the study of bioequivalence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4. Methods for determining the concentration of drugs in a blood sample in the study of bioequivalence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5. Analysis of pharmacokinetic data. Bioequivalence assessment</w:t>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i/>
          <w:iCs/>
          <w:color w:val="000000"/>
          <w:sz w:val="28"/>
          <w:szCs w:val="28"/>
          <w:lang w:val="en-US" w:eastAsia="ru-RU"/>
        </w:rPr>
        <w:t>Answer the question:</w:t>
      </w:r>
    </w:p>
    <w:p w:rsidR="002C149E" w:rsidRPr="002C149E" w:rsidRDefault="002C149E" w:rsidP="00AE3814">
      <w:pPr>
        <w:numPr>
          <w:ilvl w:val="0"/>
          <w:numId w:val="4"/>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Influence of environmental factors on pharmacotherapy.</w:t>
      </w:r>
    </w:p>
    <w:p w:rsidR="002C149E" w:rsidRPr="002C149E" w:rsidRDefault="002C149E" w:rsidP="00AE3814">
      <w:pPr>
        <w:numPr>
          <w:ilvl w:val="0"/>
          <w:numId w:val="4"/>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Interaction of drugs with food.</w:t>
      </w:r>
    </w:p>
    <w:p w:rsidR="002C149E" w:rsidRPr="002C149E" w:rsidRDefault="002C149E" w:rsidP="00AE3814">
      <w:pPr>
        <w:numPr>
          <w:ilvl w:val="0"/>
          <w:numId w:val="4"/>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The concept of therapeutic non-equivalence of drugs and the causes of its occurrence.</w:t>
      </w:r>
    </w:p>
    <w:p w:rsidR="002C149E" w:rsidRPr="002C149E" w:rsidRDefault="002C149E" w:rsidP="00AE3814">
      <w:pPr>
        <w:numPr>
          <w:ilvl w:val="0"/>
          <w:numId w:val="4"/>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Brands and generics. Replacement of drugs by their analogues.</w:t>
      </w:r>
    </w:p>
    <w:p w:rsidR="002C149E" w:rsidRPr="002C149E" w:rsidRDefault="002C149E" w:rsidP="00AE3814">
      <w:pPr>
        <w:numPr>
          <w:ilvl w:val="0"/>
          <w:numId w:val="4"/>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lastRenderedPageBreak/>
        <w:t>                </w:t>
      </w:r>
      <w:r w:rsidRPr="002C149E">
        <w:rPr>
          <w:rFonts w:ascii="Times New Roman" w:eastAsia="Times New Roman" w:hAnsi="Times New Roman" w:cs="Times New Roman"/>
          <w:color w:val="000000"/>
          <w:sz w:val="28"/>
          <w:szCs w:val="28"/>
          <w:lang w:val="en-US" w:eastAsia="ru-RU"/>
        </w:rPr>
        <w:t>Types of bioavailability of drugs. Determination of absolute and relative bioavailability of drugs.</w:t>
      </w:r>
    </w:p>
    <w:p w:rsidR="002C149E" w:rsidRPr="002C149E" w:rsidRDefault="002C149E" w:rsidP="00AE3814">
      <w:pPr>
        <w:numPr>
          <w:ilvl w:val="0"/>
          <w:numId w:val="4"/>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Methods "in vivo", which are carried out on living organisms of laboratory animals, healthy human volunteers and on isolated organs with single and multiple injections.</w:t>
      </w:r>
    </w:p>
    <w:p w:rsidR="002C149E" w:rsidRPr="002C149E" w:rsidRDefault="002C149E" w:rsidP="00AE3814">
      <w:pPr>
        <w:numPr>
          <w:ilvl w:val="0"/>
          <w:numId w:val="4"/>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Distinctive features in the reactivity of different species of animals to the introduction of biologically active substances.</w:t>
      </w:r>
    </w:p>
    <w:p w:rsidR="002C149E" w:rsidRPr="002C149E" w:rsidRDefault="002C149E" w:rsidP="00AE3814">
      <w:pPr>
        <w:numPr>
          <w:ilvl w:val="0"/>
          <w:numId w:val="4"/>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 vitro" methods used in biopharmacy (direct diffusion through the membrane, "agar plates", chromatographic, solubility test, etc.).</w:t>
      </w:r>
    </w:p>
    <w:p w:rsidR="002C149E" w:rsidRPr="002C149E" w:rsidRDefault="002C149E" w:rsidP="00AE3814">
      <w:pPr>
        <w:numPr>
          <w:ilvl w:val="0"/>
          <w:numId w:val="4"/>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Modern methods for determining the concentration of drugs in biological fluids (blood, urine, and other body secretions).</w:t>
      </w:r>
    </w:p>
    <w:p w:rsidR="002C149E" w:rsidRPr="002C149E" w:rsidRDefault="002C149E" w:rsidP="00AE3814">
      <w:pPr>
        <w:numPr>
          <w:ilvl w:val="0"/>
          <w:numId w:val="4"/>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Graphical method of calculating the area of ​​the pharmacokinetic curve and the relative degree of absorption depending on pharmaceutical factors. Determination of absorption and elimination constants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i/>
          <w:iCs/>
          <w:color w:val="000000"/>
          <w:sz w:val="28"/>
          <w:szCs w:val="28"/>
          <w:lang w:val="en-US" w:eastAsia="ru-RU"/>
        </w:rPr>
        <w:t>Solve the test:</w:t>
      </w:r>
    </w:p>
    <w:p w:rsidR="002C149E" w:rsidRPr="002C149E" w:rsidRDefault="002C149E" w:rsidP="00AE3814">
      <w:pPr>
        <w:numPr>
          <w:ilvl w:val="0"/>
          <w:numId w:val="5"/>
        </w:numPr>
        <w:spacing w:after="0" w:line="240" w:lineRule="auto"/>
        <w:ind w:left="0"/>
        <w:rPr>
          <w:rFonts w:ascii="Times New Roman" w:eastAsia="Times New Roman" w:hAnsi="Times New Roman" w:cs="Times New Roman"/>
          <w:color w:val="000000"/>
          <w:sz w:val="27"/>
          <w:szCs w:val="27"/>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7"/>
          <w:szCs w:val="27"/>
          <w:lang w:val="en-US" w:eastAsia="ru-RU"/>
        </w:rPr>
        <w:t>Which drugs should be selected to determine bioequivalence?</w:t>
      </w:r>
    </w:p>
    <w:p w:rsidR="002C149E" w:rsidRPr="002C149E" w:rsidRDefault="002C149E" w:rsidP="00AE3814">
      <w:pPr>
        <w:spacing w:after="0" w:line="240" w:lineRule="auto"/>
        <w:ind w:left="567"/>
        <w:rPr>
          <w:rFonts w:ascii="Times New Roman" w:eastAsia="Times New Roman" w:hAnsi="Times New Roman" w:cs="Times New Roman"/>
          <w:color w:val="000000"/>
          <w:sz w:val="27"/>
          <w:szCs w:val="27"/>
          <w:lang w:val="en-US" w:eastAsia="ru-RU"/>
        </w:rPr>
      </w:pPr>
      <w:r w:rsidRPr="002C149E">
        <w:rPr>
          <w:rFonts w:ascii="Times New Roman" w:eastAsia="Times New Roman" w:hAnsi="Times New Roman" w:cs="Times New Roman"/>
          <w:color w:val="000000"/>
          <w:sz w:val="27"/>
          <w:szCs w:val="27"/>
          <w:lang w:val="en-US" w:eastAsia="ru-RU"/>
        </w:rPr>
        <w:t>A. drugs from different manufacturers</w:t>
      </w:r>
    </w:p>
    <w:p w:rsidR="002C149E" w:rsidRPr="002C149E" w:rsidRDefault="002C149E" w:rsidP="00AE3814">
      <w:pPr>
        <w:spacing w:after="0" w:line="240" w:lineRule="auto"/>
        <w:ind w:left="567"/>
        <w:rPr>
          <w:rFonts w:ascii="Times New Roman" w:eastAsia="Times New Roman" w:hAnsi="Times New Roman" w:cs="Times New Roman"/>
          <w:color w:val="000000"/>
          <w:sz w:val="27"/>
          <w:szCs w:val="27"/>
          <w:lang w:val="en-US" w:eastAsia="ru-RU"/>
        </w:rPr>
      </w:pPr>
      <w:r w:rsidRPr="002C149E">
        <w:rPr>
          <w:rFonts w:ascii="Times New Roman" w:eastAsia="Times New Roman" w:hAnsi="Times New Roman" w:cs="Times New Roman"/>
          <w:color w:val="000000"/>
          <w:sz w:val="27"/>
          <w:szCs w:val="27"/>
          <w:lang w:val="en-US" w:eastAsia="ru-RU"/>
        </w:rPr>
        <w:t>B. drugs from different manufacturers</w:t>
      </w:r>
    </w:p>
    <w:p w:rsidR="002C149E" w:rsidRPr="002C149E" w:rsidRDefault="002C149E" w:rsidP="00AE3814">
      <w:pPr>
        <w:spacing w:after="0" w:line="240" w:lineRule="auto"/>
        <w:ind w:left="567"/>
        <w:rPr>
          <w:rFonts w:ascii="Times New Roman" w:eastAsia="Times New Roman" w:hAnsi="Times New Roman" w:cs="Times New Roman"/>
          <w:color w:val="000000"/>
          <w:sz w:val="27"/>
          <w:szCs w:val="27"/>
          <w:lang w:val="en-US" w:eastAsia="ru-RU"/>
        </w:rPr>
      </w:pPr>
      <w:r w:rsidRPr="002C149E">
        <w:rPr>
          <w:rFonts w:ascii="Times New Roman" w:eastAsia="Times New Roman" w:hAnsi="Times New Roman" w:cs="Times New Roman"/>
          <w:color w:val="000000"/>
          <w:sz w:val="27"/>
          <w:szCs w:val="27"/>
          <w:lang w:val="en-US" w:eastAsia="ru-RU"/>
        </w:rPr>
        <w:t>C. drugs that are manufactured by one plant, but different series</w:t>
      </w:r>
    </w:p>
    <w:p w:rsidR="002C149E" w:rsidRPr="002C149E" w:rsidRDefault="002C149E" w:rsidP="00AE3814">
      <w:pPr>
        <w:spacing w:after="0" w:line="240" w:lineRule="auto"/>
        <w:ind w:left="567"/>
        <w:rPr>
          <w:rFonts w:ascii="Times New Roman" w:eastAsia="Times New Roman" w:hAnsi="Times New Roman" w:cs="Times New Roman"/>
          <w:color w:val="000000"/>
          <w:sz w:val="27"/>
          <w:szCs w:val="27"/>
          <w:lang w:val="en-US" w:eastAsia="ru-RU"/>
        </w:rPr>
      </w:pPr>
      <w:r w:rsidRPr="002C149E">
        <w:rPr>
          <w:rFonts w:ascii="Times New Roman" w:eastAsia="Times New Roman" w:hAnsi="Times New Roman" w:cs="Times New Roman"/>
          <w:color w:val="000000"/>
          <w:sz w:val="27"/>
          <w:szCs w:val="27"/>
          <w:lang w:val="en-US" w:eastAsia="ru-RU"/>
        </w:rPr>
        <w:t>D. drugs that are manufactured by one factory, but one series</w:t>
      </w:r>
    </w:p>
    <w:p w:rsidR="002C149E" w:rsidRPr="002C149E" w:rsidRDefault="002C149E" w:rsidP="00AE3814">
      <w:pPr>
        <w:spacing w:after="0" w:line="240" w:lineRule="auto"/>
        <w:ind w:left="567"/>
        <w:rPr>
          <w:rFonts w:ascii="Times New Roman" w:eastAsia="Times New Roman" w:hAnsi="Times New Roman" w:cs="Times New Roman"/>
          <w:color w:val="000000"/>
          <w:sz w:val="27"/>
          <w:szCs w:val="27"/>
          <w:lang w:val="en-US" w:eastAsia="ru-RU"/>
        </w:rPr>
      </w:pPr>
      <w:r w:rsidRPr="002C149E">
        <w:rPr>
          <w:rFonts w:ascii="Times New Roman" w:eastAsia="Times New Roman" w:hAnsi="Times New Roman" w:cs="Times New Roman"/>
          <w:color w:val="000000"/>
          <w:sz w:val="27"/>
          <w:szCs w:val="27"/>
          <w:lang w:val="en-US" w:eastAsia="ru-RU"/>
        </w:rPr>
        <w:t>E. drugs from different manufacturers; drugs that are manufactured by one plant, but different series.</w:t>
      </w:r>
    </w:p>
    <w:p w:rsidR="002C149E" w:rsidRPr="002C149E" w:rsidRDefault="002C149E" w:rsidP="00AE3814">
      <w:pPr>
        <w:numPr>
          <w:ilvl w:val="0"/>
          <w:numId w:val="6"/>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Indicate which term corresponds to the following statement: "A condition that allows a drug substance, when administered into the body, to reach the site of exposure."</w:t>
      </w:r>
    </w:p>
    <w:p w:rsidR="002C149E" w:rsidRPr="002C149E" w:rsidRDefault="002C149E" w:rsidP="00AE3814">
      <w:pPr>
        <w:spacing w:after="0" w:line="240" w:lineRule="auto"/>
        <w:ind w:left="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relative bioavailability</w:t>
      </w:r>
    </w:p>
    <w:p w:rsidR="002C149E" w:rsidRPr="002C149E" w:rsidRDefault="002C149E" w:rsidP="00AE3814">
      <w:pPr>
        <w:spacing w:after="0" w:line="240" w:lineRule="auto"/>
        <w:ind w:left="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bioavailability</w:t>
      </w:r>
    </w:p>
    <w:p w:rsidR="002C149E" w:rsidRPr="002C149E" w:rsidRDefault="002C149E" w:rsidP="00AE3814">
      <w:pPr>
        <w:spacing w:after="0" w:line="240" w:lineRule="auto"/>
        <w:ind w:left="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absolute bioavailability</w:t>
      </w:r>
    </w:p>
    <w:p w:rsidR="002C149E" w:rsidRPr="002C149E" w:rsidRDefault="002C149E" w:rsidP="00AE3814">
      <w:pPr>
        <w:spacing w:after="0" w:line="240" w:lineRule="auto"/>
        <w:ind w:left="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therapeutic inequality</w:t>
      </w:r>
    </w:p>
    <w:p w:rsidR="002C149E" w:rsidRPr="002C149E" w:rsidRDefault="002C149E" w:rsidP="00AE3814">
      <w:pPr>
        <w:spacing w:after="0" w:line="240" w:lineRule="auto"/>
        <w:ind w:left="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bioequivalence</w:t>
      </w:r>
    </w:p>
    <w:p w:rsidR="002C149E" w:rsidRPr="002C149E" w:rsidRDefault="002C149E" w:rsidP="00AE3814">
      <w:pPr>
        <w:numPr>
          <w:ilvl w:val="0"/>
          <w:numId w:val="7"/>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Indicate which term corresponds to the following statement: "Correspondence of the amount of drug substance (drug) or drug to the analytical regulatory documentation or the identity of the effect of the studied drug to the drug comparison".</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bioavailability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equivalence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system availability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biotransformation</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resorption</w:t>
      </w:r>
    </w:p>
    <w:p w:rsidR="002C149E" w:rsidRPr="002C149E" w:rsidRDefault="002C149E" w:rsidP="00AE3814">
      <w:pPr>
        <w:numPr>
          <w:ilvl w:val="0"/>
          <w:numId w:val="8"/>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Indicate which term corresponds to the following statement: "The equivalent of a drug that, after administration of the same doses, gives the same therapeutic effect, tested on any symptom or treatment of the disease."</w:t>
      </w:r>
    </w:p>
    <w:p w:rsidR="002C149E" w:rsidRPr="002C149E" w:rsidRDefault="002C149E" w:rsidP="00AE3814">
      <w:pPr>
        <w:spacing w:after="0" w:line="240" w:lineRule="auto"/>
        <w:ind w:firstLine="709"/>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clinical equivalent</w:t>
      </w:r>
    </w:p>
    <w:p w:rsidR="002C149E" w:rsidRPr="002C149E" w:rsidRDefault="002C149E" w:rsidP="00AE3814">
      <w:pPr>
        <w:spacing w:after="0" w:line="240" w:lineRule="auto"/>
        <w:ind w:firstLine="709"/>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lastRenderedPageBreak/>
        <w:t>B. equivalence</w:t>
      </w:r>
    </w:p>
    <w:p w:rsidR="002C149E" w:rsidRPr="002C149E" w:rsidRDefault="002C149E" w:rsidP="00AE3814">
      <w:pPr>
        <w:spacing w:after="0" w:line="240" w:lineRule="auto"/>
        <w:ind w:firstLine="709"/>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bioequivalence</w:t>
      </w:r>
    </w:p>
    <w:p w:rsidR="002C149E" w:rsidRPr="002C149E" w:rsidRDefault="002C149E" w:rsidP="00AE3814">
      <w:pPr>
        <w:spacing w:after="0" w:line="240" w:lineRule="auto"/>
        <w:ind w:firstLine="709"/>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bioavailability</w:t>
      </w:r>
    </w:p>
    <w:p w:rsidR="002C149E" w:rsidRPr="002C149E" w:rsidRDefault="002C149E" w:rsidP="00AE3814">
      <w:pPr>
        <w:spacing w:after="0" w:line="240" w:lineRule="auto"/>
        <w:ind w:firstLine="709"/>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pharmaceutical equivalent</w:t>
      </w:r>
    </w:p>
    <w:p w:rsidR="002C149E" w:rsidRPr="002C149E" w:rsidRDefault="002C149E" w:rsidP="00AE3814">
      <w:pPr>
        <w:numPr>
          <w:ilvl w:val="0"/>
          <w:numId w:val="9"/>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Indicate which term corresponds to the following statement: "Total constant that determines the rate of penetration of the drug from the site of introduction into the body through the biological membrane."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biotransformation</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elimination constant</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the release rate constant</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equivalence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LADMER</w:t>
      </w:r>
    </w:p>
    <w:p w:rsidR="002C149E" w:rsidRPr="002C149E" w:rsidRDefault="002C149E" w:rsidP="00AE3814">
      <w:pPr>
        <w:numPr>
          <w:ilvl w:val="0"/>
          <w:numId w:val="10"/>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Indicate which term corresponds to the following statement: "Inequality of therapeutic action of the same drugs in the same doses, prepared by different manufacturers or the same plant, but different series."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clinical equivalent</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equivalence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bioequivalence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bioavailability</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pharmaceutical equivalent</w:t>
      </w:r>
    </w:p>
    <w:p w:rsidR="002C149E" w:rsidRPr="002C149E" w:rsidRDefault="002C149E" w:rsidP="00AE3814">
      <w:pPr>
        <w:numPr>
          <w:ilvl w:val="0"/>
          <w:numId w:val="11"/>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Indicate which term corresponds to the following statement: "Inequality of therapeutic action of the same drugs in the same doses, prepared by different manufacturers or the same plant, but different series."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therapeutic inequality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equivalence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pharmaceutical inequality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bioavailability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pharmaceutical equivalent</w:t>
      </w:r>
    </w:p>
    <w:p w:rsidR="002C149E" w:rsidRPr="002C149E" w:rsidRDefault="002C149E" w:rsidP="00AE3814">
      <w:pPr>
        <w:numPr>
          <w:ilvl w:val="0"/>
          <w:numId w:val="12"/>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Indicate which term corresponds to the following statement: "It is a drug that contains the same amount of therapeutically similar substance in a certain dosage form that meets the requirements defined by technological standards."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clinical equivalent</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equivalence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bioequivalence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bioavailability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pharmaceutical equivalent</w:t>
      </w:r>
    </w:p>
    <w:p w:rsidR="002C149E" w:rsidRPr="002C149E" w:rsidRDefault="002C149E" w:rsidP="00AE3814">
      <w:pPr>
        <w:numPr>
          <w:ilvl w:val="0"/>
          <w:numId w:val="13"/>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Indicate which term corresponds to the following statement: “The purity of the hypothetical volume of plasma per mole (volume of distribution) by which the body is released from the drug, releasing it through the kidneys, bile, lungs, skin, etc.</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distribution</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purity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purity of the whole body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resorption</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lastRenderedPageBreak/>
        <w:t>E. biotransformation</w:t>
      </w:r>
    </w:p>
    <w:p w:rsidR="002C149E" w:rsidRPr="002C149E" w:rsidRDefault="002C149E" w:rsidP="00AE3814">
      <w:pPr>
        <w:numPr>
          <w:ilvl w:val="0"/>
          <w:numId w:val="14"/>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From a biopharmaceutical point of view, indifferent substances are: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sugar;</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correctors;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South Africa;</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preservatives;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none of the above.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 </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III. Formation of professional skills, abilities: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3.1.</w:t>
      </w: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b/>
          <w:bCs/>
          <w:color w:val="000000"/>
          <w:sz w:val="28"/>
          <w:szCs w:val="28"/>
          <w:lang w:val="en-US" w:eastAsia="ru-RU"/>
        </w:rPr>
        <w:t>content of tasks: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Task №1</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To establish the effect of polymorphic modifications of insulin preparations on the rate of its release by the "in vivo" method.</w:t>
      </w:r>
    </w:p>
    <w:p w:rsidR="002C149E" w:rsidRPr="002C149E" w:rsidRDefault="002C149E" w:rsidP="00AE3814">
      <w:pPr>
        <w:spacing w:after="0" w:line="240" w:lineRule="auto"/>
        <w:ind w:left="128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 </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3.2.</w:t>
      </w: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b/>
          <w:bCs/>
          <w:color w:val="000000"/>
          <w:sz w:val="28"/>
          <w:szCs w:val="28"/>
          <w:lang w:val="en-US" w:eastAsia="ru-RU"/>
        </w:rPr>
        <w:t>recommendations (instructions) for performing tasks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Task №1</w:t>
      </w:r>
    </w:p>
    <w:p w:rsidR="002C149E" w:rsidRPr="002C149E" w:rsidRDefault="002C149E" w:rsidP="00AE3814">
      <w:pPr>
        <w:spacing w:after="0" w:line="240" w:lineRule="auto"/>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Methodical recommendations for the task</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i/>
          <w:iCs/>
          <w:color w:val="000000"/>
          <w:sz w:val="28"/>
          <w:szCs w:val="28"/>
          <w:lang w:val="en-US" w:eastAsia="ru-RU"/>
        </w:rPr>
        <w:t>The objects of study </w:t>
      </w:r>
      <w:r w:rsidRPr="002C149E">
        <w:rPr>
          <w:rFonts w:ascii="Times New Roman" w:eastAsia="Times New Roman" w:hAnsi="Times New Roman" w:cs="Times New Roman"/>
          <w:color w:val="000000"/>
          <w:sz w:val="28"/>
          <w:szCs w:val="28"/>
          <w:lang w:val="en-US" w:eastAsia="ru-RU"/>
        </w:rPr>
        <w:t>are amorphous and crystalline zinc insulin, widely used in medical practice in diabetes.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During the experiment, three animals (white rats or rabbits) of the same weight after 18 hours of fasting were used for training purposes.</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In animals, determine the initial concentration of glucose in the blood. After that, two animals are injected subcutaneously, respectively, drugs: amorphous zinc insulin and crystalline zinc insulin at a dose of 1.0 IU / kg. Taking into account the small body weight of experimental animals (white rats), use drugs in a dilution of 1: 100. The third animal is a control.</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 Determination of the concentration of glucose in the blood of animals is carried out after 1; 1.5; 2 hours from the start of the experiment. Before completing the task, get acquainted with the algorithm of experimental work for task № 3 (Appendix 3).</w:t>
      </w:r>
    </w:p>
    <w:p w:rsidR="002C149E" w:rsidRPr="002C149E" w:rsidRDefault="002C149E" w:rsidP="00AE3814">
      <w:pPr>
        <w:spacing w:after="0" w:line="240" w:lineRule="auto"/>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Determination of blood glucose</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1.5 ml of 3% trichloroacetic acid solution is placed in four centrifuge tubes. In three of them make 0.1 ml of blood taken from the retroorbital venous plexus or tail vein of the animal, and in the fourth - 0.4 ml of standard glucose solution. The mixture is shaken and centrifuged for 10 min at 3000 rpm, then placed in 4 chemical tubes of 1.5 ml of orthotoluidine reagent and added per 1 ml of centrifugate. The tubes with the mixture are shaken and placed in a boiling water bath for 10 minutes. After that, they are cooled under a stream of cold water. The optical density of the solution is measured using a photoelectrocolorimeter (FEC 56 PM) with a red light filter (№ 8) with a wavelength of 600-650 nm in a cuvette with a liquid layer thickness of 5 mm. Purified water is used as a reference solution.</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The concentration of glucose in the blood (m mol / l) is calculated by the formula:</w:t>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FE394F">
        <w:rPr>
          <w:noProof/>
          <w:sz w:val="28"/>
          <w:szCs w:val="28"/>
          <w:lang w:eastAsia="ru-RU"/>
        </w:rPr>
        <w:lastRenderedPageBreak/>
        <w:drawing>
          <wp:inline distT="0" distB="0" distL="0" distR="0">
            <wp:extent cx="1234440" cy="594360"/>
            <wp:effectExtent l="0" t="0" r="0" b="0"/>
            <wp:docPr id="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11">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34440" cy="594360"/>
                    </a:xfrm>
                    <a:prstGeom prst="rect">
                      <a:avLst/>
                    </a:prstGeom>
                    <a:noFill/>
                    <a:ln>
                      <a:noFill/>
                    </a:ln>
                  </pic:spPr>
                </pic:pic>
              </a:graphicData>
            </a:graphic>
          </wp:inline>
        </w:drawing>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where </w:t>
      </w:r>
      <w:r w:rsidRPr="002C149E">
        <w:rPr>
          <w:rFonts w:ascii="Times New Roman" w:eastAsia="Times New Roman" w:hAnsi="Times New Roman" w:cs="Times New Roman"/>
          <w:i/>
          <w:iCs/>
          <w:color w:val="000000"/>
          <w:sz w:val="28"/>
          <w:szCs w:val="28"/>
          <w:lang w:val="en-US" w:eastAsia="ru-RU"/>
        </w:rPr>
        <w:t>Cop </w:t>
      </w:r>
      <w:r w:rsidRPr="002C149E">
        <w:rPr>
          <w:rFonts w:ascii="Times New Roman" w:eastAsia="Times New Roman" w:hAnsi="Times New Roman" w:cs="Times New Roman"/>
          <w:color w:val="000000"/>
          <w:sz w:val="28"/>
          <w:szCs w:val="28"/>
          <w:lang w:val="en-US" w:eastAsia="ru-RU"/>
        </w:rPr>
        <w:t>is the concentration of glucose in the test sample (M mol / l);</w:t>
      </w:r>
    </w:p>
    <w:p w:rsidR="002C149E" w:rsidRPr="002C149E" w:rsidRDefault="002C149E" w:rsidP="00AE3814">
      <w:pPr>
        <w:spacing w:after="0" w:line="240" w:lineRule="auto"/>
        <w:ind w:firstLine="284"/>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i/>
          <w:iCs/>
          <w:color w:val="000000"/>
          <w:sz w:val="28"/>
          <w:szCs w:val="28"/>
          <w:lang w:val="en-US" w:eastAsia="ru-RU"/>
        </w:rPr>
        <w:t>CC </w:t>
      </w:r>
      <w:r w:rsidRPr="002C149E">
        <w:rPr>
          <w:rFonts w:ascii="Times New Roman" w:eastAsia="Times New Roman" w:hAnsi="Times New Roman" w:cs="Times New Roman"/>
          <w:color w:val="000000"/>
          <w:sz w:val="28"/>
          <w:szCs w:val="28"/>
          <w:lang w:val="en-US" w:eastAsia="ru-RU"/>
        </w:rPr>
        <w:t>- glucose concentration in a standard sample (M mol / l);</w:t>
      </w:r>
    </w:p>
    <w:p w:rsidR="002C149E" w:rsidRPr="002C149E" w:rsidRDefault="002C149E" w:rsidP="00AE3814">
      <w:pPr>
        <w:spacing w:after="0" w:line="240" w:lineRule="auto"/>
        <w:ind w:firstLine="284"/>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i/>
          <w:iCs/>
          <w:color w:val="000000"/>
          <w:sz w:val="28"/>
          <w:szCs w:val="28"/>
          <w:lang w:val="en-US" w:eastAsia="ru-RU"/>
        </w:rPr>
        <w:t>Eop </w:t>
      </w:r>
      <w:r w:rsidRPr="002C149E">
        <w:rPr>
          <w:rFonts w:ascii="Times New Roman" w:eastAsia="Times New Roman" w:hAnsi="Times New Roman" w:cs="Times New Roman"/>
          <w:color w:val="000000"/>
          <w:sz w:val="28"/>
          <w:szCs w:val="28"/>
          <w:lang w:val="en-US" w:eastAsia="ru-RU"/>
        </w:rPr>
        <w:t>- optical density of the test sample;</w:t>
      </w:r>
    </w:p>
    <w:p w:rsidR="002C149E" w:rsidRPr="002C149E" w:rsidRDefault="002C149E" w:rsidP="00AE3814">
      <w:pPr>
        <w:spacing w:after="0" w:line="240" w:lineRule="auto"/>
        <w:ind w:firstLine="284"/>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i/>
          <w:iCs/>
          <w:color w:val="000000"/>
          <w:sz w:val="28"/>
          <w:szCs w:val="28"/>
          <w:lang w:val="en-US" w:eastAsia="ru-RU"/>
        </w:rPr>
        <w:t>Est </w:t>
      </w:r>
      <w:r w:rsidRPr="002C149E">
        <w:rPr>
          <w:rFonts w:ascii="Times New Roman" w:eastAsia="Times New Roman" w:hAnsi="Times New Roman" w:cs="Times New Roman"/>
          <w:color w:val="000000"/>
          <w:sz w:val="28"/>
          <w:szCs w:val="28"/>
          <w:lang w:val="en-US" w:eastAsia="ru-RU"/>
        </w:rPr>
        <w:t>is the optical density of the standard solution.</w:t>
      </w:r>
    </w:p>
    <w:p w:rsidR="002C149E" w:rsidRPr="002C149E" w:rsidRDefault="002C149E" w:rsidP="00AE3814">
      <w:pPr>
        <w:spacing w:after="0" w:line="240" w:lineRule="auto"/>
        <w:ind w:firstLine="284"/>
        <w:jc w:val="right"/>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i/>
          <w:iCs/>
          <w:color w:val="000000"/>
          <w:sz w:val="28"/>
          <w:szCs w:val="28"/>
          <w:lang w:val="en-US" w:eastAsia="ru-RU"/>
        </w:rPr>
        <w:t>Annex 3</w:t>
      </w:r>
    </w:p>
    <w:p w:rsidR="002C149E" w:rsidRPr="002C149E" w:rsidRDefault="002C149E" w:rsidP="00AE3814">
      <w:pPr>
        <w:spacing w:after="0" w:line="240" w:lineRule="auto"/>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ALGORITHM OF EXPERIMENTAL WORK ON STUDY OF INFLUENCE OF POLYMORPHIC MODIFICATIONS</w:t>
      </w:r>
    </w:p>
    <w:p w:rsidR="002C149E" w:rsidRPr="00AE3814" w:rsidRDefault="002C149E" w:rsidP="00AE3814">
      <w:pPr>
        <w:spacing w:after="0" w:line="240" w:lineRule="auto"/>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OF INSULIN DRUGS FOR THE RATE OF ITS RELEASE</w:t>
      </w:r>
    </w:p>
    <w:p w:rsidR="002C149E" w:rsidRPr="00AE3814" w:rsidRDefault="00FA5383" w:rsidP="00AE3814">
      <w:pPr>
        <w:spacing w:after="0"/>
        <w:jc w:val="both"/>
        <w:rPr>
          <w:rFonts w:ascii="Times New Roman" w:hAnsi="Times New Roman" w:cs="Times New Roman"/>
          <w:sz w:val="28"/>
          <w:szCs w:val="28"/>
          <w:lang w:val="uk-UA"/>
        </w:rPr>
      </w:pPr>
      <w:r w:rsidRPr="00FA5383">
        <w:rPr>
          <w:rFonts w:ascii="Times New Roman" w:hAnsi="Times New Roman" w:cs="Times New Roman"/>
          <w:noProof/>
          <w:lang w:eastAsia="ru-RU"/>
        </w:rPr>
        <w:pict>
          <v:group id="Группа 115" o:spid="_x0000_s1026" style="position:absolute;left:0;text-align:left;margin-left:45.9pt;margin-top:4.3pt;width:446.4pt;height:350.4pt;z-index:251659264" coordsize="56692,44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">
            <v:shapetype id="_x0000_t202" coordsize="21600,21600" o:spt="202" path="m,l,21600r21600,l21600,xe">
              <v:stroke joinstyle="miter"/>
              <v:path gradientshapeok="t" o:connecttype="rect"/>
            </v:shapetype>
            <v:shape id="Надпись 79" o:spid="_x0000_s1027" type="#_x0000_t202" style="position:absolute;top:1752;width:17678;height:286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" fillcolor="window" strokeweight=".5pt">
              <v:path arrowok="t"/>
              <v:textbox>
                <w:txbxContent>
                  <w:p w:rsidR="002C149E" w:rsidRPr="00E24A58" w:rsidRDefault="002C149E" w:rsidP="002C149E">
                    <w:pPr>
                      <w:jc w:val="center"/>
                      <w:rPr>
                        <w:sz w:val="24"/>
                        <w:szCs w:val="24"/>
                        <w:lang w:val="uk-UA"/>
                      </w:rPr>
                    </w:pPr>
                    <w:r w:rsidRPr="002C149E">
                      <w:rPr>
                        <w:sz w:val="24"/>
                        <w:szCs w:val="24"/>
                        <w:lang w:val="uk-UA"/>
                      </w:rPr>
                      <w:t>Animals (4 heads)</w:t>
                    </w:r>
                  </w:p>
                </w:txbxContent>
              </v:textbox>
            </v:shape>
            <v:shape id="Надпись 80" o:spid="_x0000_s1028" type="#_x0000_t202" style="position:absolute;left:23393;width:33299;height:46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" fillcolor="window" strokeweight=".5pt">
              <v:path arrowok="t"/>
              <v:textbox>
                <w:txbxContent>
                  <w:p w:rsidR="002C149E" w:rsidRPr="002C149E" w:rsidRDefault="002C149E" w:rsidP="002C149E">
                    <w:pPr>
                      <w:spacing w:after="0" w:line="240" w:lineRule="auto"/>
                      <w:jc w:val="both"/>
                      <w:rPr>
                        <w:color w:val="000000"/>
                        <w:sz w:val="24"/>
                        <w:szCs w:val="24"/>
                        <w:lang w:val="uk-UA"/>
                      </w:rPr>
                    </w:pPr>
                    <w:r w:rsidRPr="002C149E">
                      <w:rPr>
                        <w:color w:val="000000"/>
                        <w:sz w:val="24"/>
                        <w:szCs w:val="24"/>
                        <w:lang w:val="uk-UA"/>
                      </w:rPr>
                      <w:t>Zinc is amorphous insulin</w:t>
                    </w:r>
                  </w:p>
                  <w:p w:rsidR="002C149E" w:rsidRPr="009E0DDF" w:rsidRDefault="002C149E" w:rsidP="002C149E">
                    <w:pPr>
                      <w:spacing w:after="0" w:line="240" w:lineRule="auto"/>
                      <w:jc w:val="both"/>
                      <w:rPr>
                        <w:color w:val="000000"/>
                        <w:sz w:val="24"/>
                        <w:szCs w:val="24"/>
                        <w:lang w:val="uk-UA"/>
                      </w:rPr>
                    </w:pPr>
                    <w:r w:rsidRPr="002C149E">
                      <w:rPr>
                        <w:color w:val="000000"/>
                        <w:sz w:val="24"/>
                        <w:szCs w:val="24"/>
                        <w:lang w:val="uk-UA"/>
                      </w:rPr>
                      <w:t>Zinc insulin crystalline dose calculation</w:t>
                    </w:r>
                  </w:p>
                </w:txbxContent>
              </v:textbox>
            </v:shape>
            <v:shape id="Надпись 75" o:spid="_x0000_s1029" type="#_x0000_t202" style="position:absolute;left:1524;top:6705;width:12865;height:275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" fillcolor="window" strokeweight=".5pt">
              <v:path arrowok="t"/>
              <v:textbox>
                <w:txbxContent>
                  <w:p w:rsidR="002C149E" w:rsidRPr="00E24A58" w:rsidRDefault="002C149E" w:rsidP="002C149E">
                    <w:pPr>
                      <w:rPr>
                        <w:sz w:val="24"/>
                        <w:szCs w:val="24"/>
                        <w:lang w:val="uk-UA"/>
                      </w:rPr>
                    </w:pPr>
                    <w:r w:rsidRPr="002C149E">
                      <w:rPr>
                        <w:sz w:val="24"/>
                        <w:szCs w:val="24"/>
                        <w:lang w:val="uk-UA"/>
                      </w:rPr>
                      <w:t>Weighing animals</w:t>
                    </w:r>
                  </w:p>
                </w:txbxContent>
              </v:textbox>
            </v:shape>
            <v:shape id="Надпись 76" o:spid="_x0000_s1030" type="#_x0000_t202" style="position:absolute;left:29184;top:6705;width:17310;height:2756;visibility:visible;mso-wrap-style:non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" fillcolor="window" strokeweight=".5pt">
              <v:path arrowok="t"/>
              <v:textbox>
                <w:txbxContent>
                  <w:p w:rsidR="002C149E" w:rsidRPr="00F47BD2" w:rsidRDefault="002C149E" w:rsidP="002C149E">
                    <w:pPr>
                      <w:rPr>
                        <w:lang w:val="uk-UA"/>
                      </w:rPr>
                    </w:pPr>
                    <w:r w:rsidRPr="002C149E">
                      <w:rPr>
                        <w:color w:val="000000"/>
                        <w:sz w:val="24"/>
                        <w:szCs w:val="24"/>
                        <w:lang w:val="uk-UA"/>
                      </w:rPr>
                      <w:t>Dilution of drugs (1: 100)</w:t>
                    </w:r>
                  </w:p>
                </w:txbxContent>
              </v:textbox>
            </v:shape>
            <v:shape id="Надпись 72" o:spid="_x0000_s1031" type="#_x0000_t202" style="position:absolute;left:5486;top:11582;width:37262;height:28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" fillcolor="window" strokeweight=".5pt">
              <v:path arrowok="t"/>
              <v:textbox>
                <w:txbxContent>
                  <w:p w:rsidR="002C149E" w:rsidRPr="00E24A58" w:rsidRDefault="002C149E" w:rsidP="002C149E">
                    <w:pPr>
                      <w:jc w:val="center"/>
                      <w:rPr>
                        <w:sz w:val="24"/>
                        <w:szCs w:val="24"/>
                        <w:lang w:val="uk-UA"/>
                      </w:rPr>
                    </w:pPr>
                    <w:r w:rsidRPr="002C149E">
                      <w:rPr>
                        <w:sz w:val="24"/>
                        <w:szCs w:val="24"/>
                        <w:lang w:val="uk-UA"/>
                      </w:rPr>
                      <w:t>Dose calculation</w:t>
                    </w:r>
                  </w:p>
                </w:txbxContent>
              </v:textbox>
            </v:shape>
            <v:shape id="Надпись 70" o:spid="_x0000_s1032" type="#_x0000_t202" style="position:absolute;left:5867;top:17145;width:37262;height:32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" fillcolor="window" strokeweight=".5pt">
              <v:path arrowok="t"/>
              <v:textbox>
                <w:txbxContent>
                  <w:p w:rsidR="002C149E" w:rsidRPr="00F47BD2" w:rsidRDefault="002C149E" w:rsidP="002C149E">
                    <w:pPr>
                      <w:jc w:val="center"/>
                      <w:rPr>
                        <w:lang w:val="uk-UA"/>
                      </w:rPr>
                    </w:pPr>
                    <w:r w:rsidRPr="002C149E">
                      <w:rPr>
                        <w:color w:val="000000"/>
                        <w:sz w:val="24"/>
                        <w:szCs w:val="24"/>
                        <w:lang w:val="uk-UA"/>
                      </w:rPr>
                      <w:t>Administration of drugs to animals</w:t>
                    </w:r>
                  </w:p>
                </w:txbxContent>
              </v:textbox>
            </v:shape>
            <v:shape id="Надпись 68" o:spid="_x0000_s1033" type="#_x0000_t202" style="position:absolute;left:5867;top:23088;width:37262;height:282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" fillcolor="window" strokeweight=".5pt">
              <v:path arrowok="t"/>
              <v:textbox>
                <w:txbxContent>
                  <w:p w:rsidR="002C149E" w:rsidRPr="002C149E" w:rsidRDefault="002C149E" w:rsidP="002C149E">
                    <w:pPr>
                      <w:jc w:val="center"/>
                      <w:rPr>
                        <w:color w:val="000000"/>
                        <w:sz w:val="24"/>
                        <w:szCs w:val="24"/>
                        <w:lang w:val="en-US"/>
                      </w:rPr>
                    </w:pPr>
                    <w:r w:rsidRPr="002C149E">
                      <w:rPr>
                        <w:color w:val="000000"/>
                        <w:sz w:val="24"/>
                        <w:szCs w:val="24"/>
                        <w:lang w:val="en-US"/>
                      </w:rPr>
                      <w:t>Administration of drugs to animals</w:t>
                    </w:r>
                  </w:p>
                  <w:p w:rsidR="002C149E" w:rsidRPr="00F47BD2" w:rsidRDefault="002C149E" w:rsidP="002C149E">
                    <w:pPr>
                      <w:jc w:val="center"/>
                      <w:rPr>
                        <w:lang w:val="uk-UA"/>
                      </w:rPr>
                    </w:pPr>
                  </w:p>
                </w:txbxContent>
              </v:textbox>
            </v:shape>
            <v:shape id="Надпись 66" o:spid="_x0000_s1034" type="#_x0000_t202" style="position:absolute;left:5867;top:28651;width:37262;height:28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" fillcolor="window" strokeweight=".5pt">
              <v:path arrowok="t"/>
              <v:textbox>
                <w:txbxContent>
                  <w:p w:rsidR="002C149E" w:rsidRPr="00F47BD2" w:rsidRDefault="002C149E" w:rsidP="002C149E">
                    <w:pPr>
                      <w:jc w:val="center"/>
                      <w:rPr>
                        <w:lang w:val="uk-UA"/>
                      </w:rPr>
                    </w:pPr>
                    <w:r w:rsidRPr="002C149E">
                      <w:rPr>
                        <w:color w:val="000000"/>
                        <w:sz w:val="24"/>
                        <w:szCs w:val="24"/>
                        <w:lang w:val="uk-UA"/>
                      </w:rPr>
                      <w:t>Blood sampling through 1; 1.5; 2 hours from the start of the experiment</w:t>
                    </w:r>
                  </w:p>
                </w:txbxContent>
              </v:textbox>
            </v:shape>
            <v:shape id="Надпись 63" o:spid="_x0000_s1035" type="#_x0000_t202" style="position:absolute;left:5867;top:34366;width:37262;height:47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" fillcolor="window" strokeweight=".5pt">
              <v:path arrowok="t"/>
              <v:textbox>
                <w:txbxContent>
                  <w:p w:rsidR="002C149E" w:rsidRPr="002C149E" w:rsidRDefault="002C149E" w:rsidP="002C149E">
                    <w:pPr>
                      <w:spacing w:after="0" w:line="240" w:lineRule="auto"/>
                      <w:jc w:val="center"/>
                      <w:rPr>
                        <w:color w:val="000000"/>
                        <w:sz w:val="24"/>
                        <w:szCs w:val="24"/>
                        <w:lang w:val="uk-UA"/>
                      </w:rPr>
                    </w:pPr>
                    <w:r w:rsidRPr="002C149E">
                      <w:rPr>
                        <w:color w:val="000000"/>
                        <w:sz w:val="24"/>
                        <w:szCs w:val="24"/>
                        <w:lang w:val="uk-UA"/>
                      </w:rPr>
                      <w:t>Construction of concentration change kinetics curves</w:t>
                    </w:r>
                  </w:p>
                  <w:p w:rsidR="002C149E" w:rsidRPr="00F47BD2" w:rsidRDefault="002C149E" w:rsidP="002C149E">
                    <w:pPr>
                      <w:spacing w:after="0" w:line="240" w:lineRule="auto"/>
                      <w:jc w:val="center"/>
                      <w:rPr>
                        <w:lang w:val="uk-UA"/>
                      </w:rPr>
                    </w:pPr>
                    <w:r w:rsidRPr="002C149E">
                      <w:rPr>
                        <w:color w:val="000000"/>
                        <w:sz w:val="24"/>
                        <w:szCs w:val="24"/>
                        <w:lang w:val="uk-UA"/>
                      </w:rPr>
                      <w:t>blood glucose under the influence of insulin drugs</w:t>
                    </w:r>
                  </w:p>
                </w:txbxContent>
              </v:textbox>
            </v:shape>
            <v:shape id="Надпись 57" o:spid="_x0000_s1036" type="#_x0000_t202" style="position:absolute;left:6477;top:41833;width:37261;height:266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" fillcolor="window" strokeweight=".5pt">
              <v:path arrowok="t"/>
              <v:textbox>
                <w:txbxContent>
                  <w:p w:rsidR="002C149E" w:rsidRPr="00F47BD2" w:rsidRDefault="002C149E" w:rsidP="002C149E">
                    <w:pPr>
                      <w:jc w:val="center"/>
                      <w:rPr>
                        <w:lang w:val="uk-UA"/>
                      </w:rPr>
                    </w:pPr>
                    <w:r w:rsidRPr="002C149E">
                      <w:rPr>
                        <w:color w:val="000000"/>
                        <w:sz w:val="24"/>
                        <w:szCs w:val="24"/>
                        <w:lang w:val="uk-UA"/>
                      </w:rPr>
                      <w:t>Conclusions</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77" o:spid="_x0000_s1037" type="#_x0000_t34" style="position:absolute;left:7581;top:5677;width:2045;height:6;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">
              <v:stroke endarrow="block"/>
            </v:shape>
            <v:shapetype id="_x0000_t32" coordsize="21600,21600" o:spt="32" o:oned="t" path="m,l21600,21600e" filled="f">
              <v:path arrowok="t" fillok="f" o:connecttype="none"/>
              <o:lock v:ext="edit" shapetype="t"/>
            </v:shapetype>
            <v:shape id="Прямая со стрелкой 78" o:spid="_x0000_s1038" type="#_x0000_t32" style="position:absolute;left:38861;top:5562;width:2102;height:0;rotation:9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">
              <v:stroke endarrow="block"/>
            </v:shape>
            <v:shape id="Прямая со стрелкой 73" o:spid="_x0000_s1039" type="#_x0000_t32" style="position:absolute;left:7505;top:10553;width:2210;height:0;rotation:9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">
              <v:stroke endarrow="block"/>
            </v:shape>
            <v:shape id="Прямая со стрелкой 74" o:spid="_x0000_s1040" type="#_x0000_t32" style="position:absolute;left:38480;top:10515;width:2210;height:0;rotation:9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">
              <v:stroke endarrow="block"/>
            </v:shape>
            <v:shape id="Прямая со стрелкой 71" o:spid="_x0000_s1041" type="#_x0000_t32" style="position:absolute;left:24155;top:14401;width:0;height:274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">
              <v:stroke endarrow="block"/>
            </v:shape>
            <v:shape id="Прямая со стрелкой 69" o:spid="_x0000_s1042" type="#_x0000_t32" style="position:absolute;left:24384;top:20345;width:0;height:2743;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">
              <v:stroke endarrow="block"/>
            </v:shape>
            <v:shape id="Прямая со стрелкой 67" o:spid="_x0000_s1043" type="#_x0000_t32" style="position:absolute;left:24536;top:25984;width:0;height:2743;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">
              <v:stroke endarrow="block"/>
            </v:shape>
            <v:shape id="Прямая со стрелкой 65" o:spid="_x0000_s1044" type="#_x0000_t32" style="position:absolute;left:24536;top:31470;width:0;height:2743;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">
              <v:stroke endarrow="block"/>
            </v:shape>
            <v:shape id="Прямая со стрелкой 62" o:spid="_x0000_s1045" type="#_x0000_t32" style="position:absolute;left:24536;top:39090;width:0;height:2743;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">
              <v:stroke endarrow="block"/>
            </v:shape>
          </v:group>
        </w:pict>
      </w:r>
    </w:p>
    <w:p w:rsidR="002C149E" w:rsidRPr="00AE3814" w:rsidRDefault="002C149E" w:rsidP="00AE3814">
      <w:pPr>
        <w:spacing w:after="0"/>
        <w:jc w:val="both"/>
        <w:rPr>
          <w:rFonts w:ascii="Times New Roman" w:hAnsi="Times New Roman" w:cs="Times New Roman"/>
          <w:sz w:val="28"/>
          <w:szCs w:val="28"/>
          <w:lang w:val="uk-UA"/>
        </w:rPr>
      </w:pPr>
    </w:p>
    <w:p w:rsidR="002C149E" w:rsidRPr="00AE3814" w:rsidRDefault="002C149E" w:rsidP="00AE3814">
      <w:pPr>
        <w:spacing w:after="0"/>
        <w:jc w:val="both"/>
        <w:rPr>
          <w:rFonts w:ascii="Times New Roman" w:hAnsi="Times New Roman" w:cs="Times New Roman"/>
          <w:sz w:val="28"/>
          <w:szCs w:val="28"/>
          <w:lang w:val="uk-UA"/>
        </w:rPr>
      </w:pPr>
    </w:p>
    <w:p w:rsidR="002C149E" w:rsidRPr="00AE3814" w:rsidRDefault="002C149E" w:rsidP="00AE3814">
      <w:pPr>
        <w:spacing w:after="0"/>
        <w:jc w:val="both"/>
        <w:rPr>
          <w:rFonts w:ascii="Times New Roman" w:hAnsi="Times New Roman" w:cs="Times New Roman"/>
          <w:sz w:val="28"/>
          <w:szCs w:val="28"/>
          <w:lang w:val="uk-UA"/>
        </w:rPr>
      </w:pPr>
    </w:p>
    <w:p w:rsidR="002C149E" w:rsidRPr="00AE3814" w:rsidRDefault="002C149E" w:rsidP="00AE3814">
      <w:pPr>
        <w:spacing w:after="0"/>
        <w:jc w:val="both"/>
        <w:rPr>
          <w:rFonts w:ascii="Times New Roman" w:hAnsi="Times New Roman" w:cs="Times New Roman"/>
          <w:sz w:val="28"/>
          <w:szCs w:val="28"/>
          <w:lang w:val="uk-UA"/>
        </w:rPr>
      </w:pPr>
    </w:p>
    <w:p w:rsidR="002C149E" w:rsidRPr="00AE3814" w:rsidRDefault="002C149E" w:rsidP="00AE3814">
      <w:pPr>
        <w:spacing w:after="0"/>
        <w:jc w:val="both"/>
        <w:rPr>
          <w:rFonts w:ascii="Times New Roman" w:hAnsi="Times New Roman" w:cs="Times New Roman"/>
          <w:sz w:val="28"/>
          <w:szCs w:val="28"/>
          <w:lang w:val="uk-UA"/>
        </w:rPr>
      </w:pPr>
    </w:p>
    <w:p w:rsidR="002C149E" w:rsidRPr="00AE3814" w:rsidRDefault="002C149E" w:rsidP="00AE3814">
      <w:pPr>
        <w:spacing w:after="0"/>
        <w:jc w:val="both"/>
        <w:rPr>
          <w:rFonts w:ascii="Times New Roman" w:hAnsi="Times New Roman" w:cs="Times New Roman"/>
          <w:sz w:val="28"/>
          <w:szCs w:val="28"/>
          <w:lang w:val="uk-UA"/>
        </w:rPr>
      </w:pPr>
    </w:p>
    <w:p w:rsidR="002C149E" w:rsidRPr="00AE3814" w:rsidRDefault="002C149E" w:rsidP="00AE3814">
      <w:pPr>
        <w:spacing w:after="0"/>
        <w:jc w:val="both"/>
        <w:rPr>
          <w:rFonts w:ascii="Times New Roman" w:hAnsi="Times New Roman" w:cs="Times New Roman"/>
          <w:sz w:val="28"/>
          <w:szCs w:val="28"/>
          <w:lang w:val="uk-UA"/>
        </w:rPr>
      </w:pPr>
    </w:p>
    <w:p w:rsidR="002C149E" w:rsidRPr="00AE3814" w:rsidRDefault="002C149E" w:rsidP="00AE3814">
      <w:pPr>
        <w:spacing w:after="0"/>
        <w:jc w:val="both"/>
        <w:rPr>
          <w:rFonts w:ascii="Times New Roman" w:hAnsi="Times New Roman" w:cs="Times New Roman"/>
          <w:sz w:val="28"/>
          <w:szCs w:val="28"/>
          <w:lang w:val="uk-UA"/>
        </w:rPr>
      </w:pPr>
    </w:p>
    <w:p w:rsidR="002C149E" w:rsidRPr="00AE3814" w:rsidRDefault="002C149E" w:rsidP="00AE3814">
      <w:pPr>
        <w:spacing w:after="0"/>
        <w:jc w:val="both"/>
        <w:rPr>
          <w:rFonts w:ascii="Times New Roman" w:hAnsi="Times New Roman" w:cs="Times New Roman"/>
          <w:sz w:val="28"/>
          <w:szCs w:val="28"/>
          <w:lang w:val="uk-UA"/>
        </w:rPr>
      </w:pPr>
    </w:p>
    <w:p w:rsidR="002C149E" w:rsidRPr="00AE3814" w:rsidRDefault="002C149E" w:rsidP="00AE3814">
      <w:pPr>
        <w:spacing w:after="0"/>
        <w:jc w:val="both"/>
        <w:rPr>
          <w:rFonts w:ascii="Times New Roman" w:hAnsi="Times New Roman" w:cs="Times New Roman"/>
          <w:sz w:val="28"/>
          <w:szCs w:val="28"/>
          <w:lang w:val="uk-UA"/>
        </w:rPr>
      </w:pPr>
    </w:p>
    <w:p w:rsidR="002C149E" w:rsidRPr="00AE3814" w:rsidRDefault="002C149E" w:rsidP="00AE3814">
      <w:pPr>
        <w:spacing w:after="0"/>
        <w:jc w:val="both"/>
        <w:rPr>
          <w:rFonts w:ascii="Times New Roman" w:hAnsi="Times New Roman" w:cs="Times New Roman"/>
          <w:sz w:val="28"/>
          <w:szCs w:val="28"/>
          <w:lang w:val="uk-UA"/>
        </w:rPr>
      </w:pPr>
    </w:p>
    <w:p w:rsidR="00AE3814" w:rsidRPr="00AE3814" w:rsidRDefault="00AE3814" w:rsidP="00AE3814">
      <w:pPr>
        <w:spacing w:after="0"/>
        <w:jc w:val="both"/>
        <w:rPr>
          <w:rFonts w:ascii="Times New Roman" w:hAnsi="Times New Roman" w:cs="Times New Roman"/>
          <w:sz w:val="28"/>
          <w:szCs w:val="28"/>
          <w:lang w:val="uk-UA"/>
        </w:rPr>
      </w:pPr>
    </w:p>
    <w:p w:rsidR="00AE3814" w:rsidRPr="00AE3814" w:rsidRDefault="00AE3814" w:rsidP="00AE3814">
      <w:pPr>
        <w:spacing w:after="0"/>
        <w:jc w:val="both"/>
        <w:rPr>
          <w:rFonts w:ascii="Times New Roman" w:hAnsi="Times New Roman" w:cs="Times New Roman"/>
          <w:sz w:val="28"/>
          <w:szCs w:val="28"/>
          <w:lang w:val="uk-UA"/>
        </w:rPr>
      </w:pPr>
    </w:p>
    <w:p w:rsidR="00AE3814" w:rsidRPr="00AE3814" w:rsidRDefault="00AE3814" w:rsidP="00AE3814">
      <w:pPr>
        <w:spacing w:after="0"/>
        <w:jc w:val="both"/>
        <w:rPr>
          <w:rFonts w:ascii="Times New Roman" w:hAnsi="Times New Roman" w:cs="Times New Roman"/>
          <w:sz w:val="28"/>
          <w:szCs w:val="28"/>
          <w:lang w:val="uk-UA"/>
        </w:rPr>
      </w:pPr>
    </w:p>
    <w:p w:rsidR="00AE3814" w:rsidRPr="00AE3814" w:rsidRDefault="00AE3814" w:rsidP="00AE3814">
      <w:pPr>
        <w:spacing w:after="0"/>
        <w:jc w:val="both"/>
        <w:rPr>
          <w:rFonts w:ascii="Times New Roman" w:hAnsi="Times New Roman" w:cs="Times New Roman"/>
          <w:sz w:val="28"/>
          <w:szCs w:val="28"/>
          <w:lang w:val="uk-UA"/>
        </w:rPr>
      </w:pPr>
    </w:p>
    <w:p w:rsidR="00AE3814" w:rsidRDefault="00AE3814" w:rsidP="00AE3814">
      <w:pPr>
        <w:spacing w:after="0"/>
        <w:jc w:val="both"/>
        <w:rPr>
          <w:rFonts w:ascii="Times New Roman" w:hAnsi="Times New Roman" w:cs="Times New Roman"/>
          <w:sz w:val="28"/>
          <w:szCs w:val="28"/>
          <w:lang w:val="uk-UA"/>
        </w:rPr>
      </w:pPr>
    </w:p>
    <w:p w:rsidR="00AE3814" w:rsidRPr="002C149E" w:rsidRDefault="00AE3814" w:rsidP="00AE3814">
      <w:pPr>
        <w:spacing w:after="0"/>
        <w:jc w:val="both"/>
        <w:rPr>
          <w:rFonts w:ascii="Times New Roman" w:hAnsi="Times New Roman" w:cs="Times New Roman"/>
          <w:sz w:val="28"/>
          <w:szCs w:val="28"/>
          <w:lang w:val="uk-UA"/>
        </w:rPr>
      </w:pPr>
    </w:p>
    <w:p w:rsidR="002C149E" w:rsidRPr="00FE394F" w:rsidRDefault="002C149E" w:rsidP="00AE3814">
      <w:pPr>
        <w:spacing w:after="0"/>
        <w:jc w:val="both"/>
        <w:rPr>
          <w:sz w:val="28"/>
          <w:szCs w:val="28"/>
          <w:lang w:val="uk-UA"/>
        </w:rPr>
      </w:pP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Enter the obtained experimental data in the table № 3 and on their basis build a graph in the coordinates: on the y-axis - the concentration of glucose in the blood ( </w:t>
      </w:r>
      <w:r w:rsidRPr="002C149E">
        <w:rPr>
          <w:rFonts w:ascii="Times New Roman" w:eastAsia="Times New Roman" w:hAnsi="Times New Roman" w:cs="Times New Roman"/>
          <w:i/>
          <w:iCs/>
          <w:color w:val="000000"/>
          <w:sz w:val="28"/>
          <w:szCs w:val="28"/>
          <w:lang w:val="en-US" w:eastAsia="ru-RU"/>
        </w:rPr>
        <w:t>C </w:t>
      </w:r>
      <w:r w:rsidRPr="002C149E">
        <w:rPr>
          <w:rFonts w:ascii="Times New Roman" w:eastAsia="Times New Roman" w:hAnsi="Times New Roman" w:cs="Times New Roman"/>
          <w:color w:val="000000"/>
          <w:sz w:val="28"/>
          <w:szCs w:val="28"/>
          <w:lang w:val="en-US" w:eastAsia="ru-RU"/>
        </w:rPr>
        <w:t>, m mol / l); on the abscissa - time ( </w:t>
      </w:r>
      <w:r w:rsidRPr="002C149E">
        <w:rPr>
          <w:rFonts w:ascii="Times New Roman" w:eastAsia="Times New Roman" w:hAnsi="Times New Roman" w:cs="Times New Roman"/>
          <w:i/>
          <w:iCs/>
          <w:color w:val="000000"/>
          <w:sz w:val="28"/>
          <w:szCs w:val="28"/>
          <w:lang w:val="en-US" w:eastAsia="ru-RU"/>
        </w:rPr>
        <w:t>t </w:t>
      </w:r>
      <w:r w:rsidRPr="002C149E">
        <w:rPr>
          <w:rFonts w:ascii="Times New Roman" w:eastAsia="Times New Roman" w:hAnsi="Times New Roman" w:cs="Times New Roman"/>
          <w:color w:val="000000"/>
          <w:sz w:val="28"/>
          <w:szCs w:val="28"/>
          <w:lang w:val="en-US" w:eastAsia="ru-RU"/>
        </w:rPr>
        <w:t>, h).</w:t>
      </w:r>
    </w:p>
    <w:p w:rsidR="002C149E" w:rsidRPr="002C149E" w:rsidRDefault="002C149E" w:rsidP="00AE3814">
      <w:pPr>
        <w:spacing w:after="0" w:line="240" w:lineRule="auto"/>
        <w:jc w:val="right"/>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br w:type="textWrapping" w:clear="all"/>
      </w:r>
      <w:r w:rsidRPr="002C149E">
        <w:rPr>
          <w:rFonts w:ascii="Times New Roman" w:eastAsia="Times New Roman" w:hAnsi="Times New Roman" w:cs="Times New Roman"/>
          <w:i/>
          <w:iCs/>
          <w:color w:val="000000"/>
          <w:sz w:val="28"/>
          <w:szCs w:val="28"/>
          <w:lang w:val="en-US" w:eastAsia="ru-RU"/>
        </w:rPr>
        <w:t>Table 3</w:t>
      </w:r>
    </w:p>
    <w:p w:rsidR="002C149E" w:rsidRPr="002C149E" w:rsidRDefault="002C149E" w:rsidP="00AE3814">
      <w:pPr>
        <w:spacing w:after="0" w:line="240" w:lineRule="auto"/>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CONCENTRATION OF GLUCOSE IN THE BLOOD OF WHITE RATS UNDER THE INFLUENCE OF INSULIN DRUGS AT A DOSE OF 1 UNIT / kg</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1277"/>
        <w:gridCol w:w="1277"/>
        <w:gridCol w:w="1493"/>
        <w:gridCol w:w="1278"/>
        <w:gridCol w:w="1278"/>
        <w:gridCol w:w="1278"/>
        <w:gridCol w:w="1926"/>
      </w:tblGrid>
      <w:tr w:rsidR="002C149E" w:rsidRPr="00E56CC1" w:rsidTr="002C149E">
        <w:trPr>
          <w:trHeight w:val="228"/>
        </w:trPr>
        <w:tc>
          <w:tcPr>
            <w:tcW w:w="1277" w:type="dxa"/>
            <w:vMerge w:val="restart"/>
            <w:tcBorders>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Marking</w:t>
            </w:r>
          </w:p>
        </w:tc>
        <w:tc>
          <w:tcPr>
            <w:tcW w:w="1277" w:type="dxa"/>
            <w:vMerge w:val="restart"/>
            <w:tcBorders>
              <w:left w:val="single" w:sz="6" w:space="0" w:color="auto"/>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xml:space="preserve">Animal weight, </w:t>
            </w:r>
            <w:r w:rsidRPr="002C149E">
              <w:rPr>
                <w:rFonts w:ascii="Times New Roman" w:eastAsia="Times New Roman" w:hAnsi="Times New Roman" w:cs="Times New Roman"/>
                <w:sz w:val="28"/>
                <w:szCs w:val="28"/>
                <w:lang w:val="en-US" w:eastAsia="ru-RU"/>
              </w:rPr>
              <w:lastRenderedPageBreak/>
              <w:t>kg</w:t>
            </w:r>
          </w:p>
        </w:tc>
        <w:tc>
          <w:tcPr>
            <w:tcW w:w="1278" w:type="dxa"/>
            <w:vMerge w:val="restart"/>
            <w:tcBorders>
              <w:left w:val="single" w:sz="6" w:space="0" w:color="auto"/>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lastRenderedPageBreak/>
              <w:t>Preparation</w:t>
            </w:r>
          </w:p>
        </w:tc>
        <w:tc>
          <w:tcPr>
            <w:tcW w:w="5760" w:type="dxa"/>
            <w:gridSpan w:val="4"/>
            <w:tcBorders>
              <w:left w:val="single" w:sz="6" w:space="0" w:color="auto"/>
              <w:bottom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Blood glucose concentration, m mol / l</w:t>
            </w:r>
          </w:p>
        </w:tc>
      </w:tr>
      <w:tr w:rsidR="002C149E" w:rsidRPr="002C149E" w:rsidTr="002C149E">
        <w:trPr>
          <w:trHeight w:val="324"/>
        </w:trPr>
        <w:tc>
          <w:tcPr>
            <w:tcW w:w="0" w:type="auto"/>
            <w:vMerge/>
            <w:tcBorders>
              <w:bottom w:val="single" w:sz="6" w:space="0" w:color="auto"/>
              <w:right w:val="single" w:sz="6" w:space="0" w:color="auto"/>
            </w:tcBorders>
            <w:vAlign w:val="center"/>
            <w:hideMark/>
          </w:tcPr>
          <w:p w:rsidR="002C149E" w:rsidRPr="002C149E" w:rsidRDefault="002C149E" w:rsidP="00AE3814">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C149E" w:rsidRPr="002C149E" w:rsidRDefault="002C149E" w:rsidP="00AE3814">
            <w:pPr>
              <w:spacing w:after="0" w:line="240" w:lineRule="auto"/>
              <w:rPr>
                <w:rFonts w:ascii="Times New Roman" w:eastAsia="Times New Roman" w:hAnsi="Times New Roman" w:cs="Times New Roman"/>
                <w:sz w:val="28"/>
                <w:szCs w:val="28"/>
                <w:lang w:val="en-US" w:eastAsia="ru-RU"/>
              </w:rPr>
            </w:pPr>
          </w:p>
        </w:tc>
        <w:tc>
          <w:tcPr>
            <w:tcW w:w="0" w:type="auto"/>
            <w:vMerge/>
            <w:tcBorders>
              <w:left w:val="single" w:sz="6" w:space="0" w:color="auto"/>
              <w:bottom w:val="single" w:sz="6" w:space="0" w:color="auto"/>
              <w:right w:val="single" w:sz="6" w:space="0" w:color="auto"/>
            </w:tcBorders>
            <w:vAlign w:val="center"/>
            <w:hideMark/>
          </w:tcPr>
          <w:p w:rsidR="002C149E" w:rsidRPr="002C149E" w:rsidRDefault="002C149E" w:rsidP="00AE3814">
            <w:pPr>
              <w:spacing w:after="0" w:line="240" w:lineRule="auto"/>
              <w:rPr>
                <w:rFonts w:ascii="Times New Roman" w:eastAsia="Times New Roman" w:hAnsi="Times New Roman" w:cs="Times New Roman"/>
                <w:sz w:val="28"/>
                <w:szCs w:val="28"/>
                <w:lang w:val="en-US" w:eastAsia="ru-RU"/>
              </w:rPr>
            </w:pPr>
          </w:p>
        </w:tc>
        <w:tc>
          <w:tcPr>
            <w:tcW w:w="127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day off</w:t>
            </w:r>
          </w:p>
        </w:tc>
        <w:tc>
          <w:tcPr>
            <w:tcW w:w="127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1:00</w:t>
            </w:r>
          </w:p>
        </w:tc>
        <w:tc>
          <w:tcPr>
            <w:tcW w:w="127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1.5 years</w:t>
            </w:r>
          </w:p>
        </w:tc>
        <w:tc>
          <w:tcPr>
            <w:tcW w:w="1278" w:type="dxa"/>
            <w:tcBorders>
              <w:top w:val="single" w:sz="6" w:space="0" w:color="auto"/>
              <w:left w:val="single" w:sz="6" w:space="0" w:color="auto"/>
              <w:bottom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2 hours</w:t>
            </w:r>
          </w:p>
        </w:tc>
      </w:tr>
      <w:tr w:rsidR="002C149E" w:rsidRPr="002C149E" w:rsidTr="002C149E">
        <w:tc>
          <w:tcPr>
            <w:tcW w:w="1277"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lastRenderedPageBreak/>
              <w:t> </w:t>
            </w:r>
          </w:p>
        </w:tc>
        <w:tc>
          <w:tcPr>
            <w:tcW w:w="1277"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c>
          <w:tcPr>
            <w:tcW w:w="127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c>
          <w:tcPr>
            <w:tcW w:w="127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c>
          <w:tcPr>
            <w:tcW w:w="127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c>
          <w:tcPr>
            <w:tcW w:w="127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c>
          <w:tcPr>
            <w:tcW w:w="1278" w:type="dxa"/>
            <w:tcBorders>
              <w:top w:val="single" w:sz="6" w:space="0" w:color="auto"/>
              <w:left w:val="single" w:sz="6" w:space="0" w:color="auto"/>
              <w:bottom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r>
      <w:tr w:rsidR="002C149E" w:rsidRPr="002C149E" w:rsidTr="002C149E">
        <w:tc>
          <w:tcPr>
            <w:tcW w:w="1277" w:type="dxa"/>
            <w:tcBorders>
              <w:top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c>
          <w:tcPr>
            <w:tcW w:w="1277" w:type="dxa"/>
            <w:tcBorders>
              <w:top w:val="single" w:sz="6" w:space="0" w:color="auto"/>
              <w:left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c>
          <w:tcPr>
            <w:tcW w:w="1278" w:type="dxa"/>
            <w:tcBorders>
              <w:top w:val="single" w:sz="6" w:space="0" w:color="auto"/>
              <w:left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c>
          <w:tcPr>
            <w:tcW w:w="1278" w:type="dxa"/>
            <w:tcBorders>
              <w:top w:val="single" w:sz="6" w:space="0" w:color="auto"/>
              <w:left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c>
          <w:tcPr>
            <w:tcW w:w="1278" w:type="dxa"/>
            <w:tcBorders>
              <w:top w:val="single" w:sz="6" w:space="0" w:color="auto"/>
              <w:left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c>
          <w:tcPr>
            <w:tcW w:w="1278" w:type="dxa"/>
            <w:tcBorders>
              <w:top w:val="single" w:sz="6" w:space="0" w:color="auto"/>
              <w:left w:val="single" w:sz="6" w:space="0" w:color="auto"/>
              <w:righ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c>
          <w:tcPr>
            <w:tcW w:w="1278" w:type="dxa"/>
            <w:tcBorders>
              <w:top w:val="single" w:sz="6" w:space="0" w:color="auto"/>
              <w:left w:val="single" w:sz="6" w:space="0" w:color="auto"/>
            </w:tcBorders>
            <w:tcMar>
              <w:top w:w="0" w:type="dxa"/>
              <w:left w:w="101" w:type="dxa"/>
              <w:bottom w:w="0" w:type="dxa"/>
              <w:right w:w="101" w:type="dxa"/>
            </w:tcMar>
            <w:hideMark/>
          </w:tcPr>
          <w:p w:rsidR="002C149E" w:rsidRPr="002C149E" w:rsidRDefault="002C149E" w:rsidP="00AE3814">
            <w:pPr>
              <w:spacing w:after="0" w:line="240" w:lineRule="auto"/>
              <w:jc w:val="both"/>
              <w:rPr>
                <w:rFonts w:ascii="Times New Roman" w:eastAsia="Times New Roman" w:hAnsi="Times New Roman" w:cs="Times New Roman"/>
                <w:sz w:val="28"/>
                <w:szCs w:val="28"/>
                <w:lang w:val="en-US" w:eastAsia="ru-RU"/>
              </w:rPr>
            </w:pPr>
            <w:r w:rsidRPr="002C149E">
              <w:rPr>
                <w:rFonts w:ascii="Times New Roman" w:eastAsia="Times New Roman" w:hAnsi="Times New Roman" w:cs="Times New Roman"/>
                <w:sz w:val="28"/>
                <w:szCs w:val="28"/>
                <w:lang w:val="en-US" w:eastAsia="ru-RU"/>
              </w:rPr>
              <w:t> </w:t>
            </w:r>
          </w:p>
        </w:tc>
      </w:tr>
    </w:tbl>
    <w:p w:rsidR="002C149E" w:rsidRPr="002C149E" w:rsidRDefault="002C149E" w:rsidP="00AE3814">
      <w:pPr>
        <w:spacing w:after="0" w:line="240" w:lineRule="auto"/>
        <w:ind w:firstLine="284"/>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After completing the task, draw conclusions about the effect of polymorphic modifications of zinc insulin on blood sugar.</w:t>
      </w:r>
    </w:p>
    <w:p w:rsidR="002C149E" w:rsidRPr="002C149E" w:rsidRDefault="002C149E" w:rsidP="00AE3814">
      <w:pPr>
        <w:spacing w:after="0" w:line="322" w:lineRule="atLeast"/>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3.3.</w:t>
      </w: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b/>
          <w:bCs/>
          <w:color w:val="000000"/>
          <w:sz w:val="28"/>
          <w:szCs w:val="28"/>
          <w:lang w:val="en-US" w:eastAsia="ru-RU"/>
        </w:rPr>
        <w:t>requirements for work results, including before registration</w:t>
      </w:r>
    </w:p>
    <w:p w:rsidR="002C149E" w:rsidRPr="002C149E" w:rsidRDefault="002C149E" w:rsidP="00AE3814">
      <w:pPr>
        <w:spacing w:after="0" w:line="322" w:lineRule="atLeast"/>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In accordance with the recommendations (instructions) for the tasks.</w:t>
      </w:r>
    </w:p>
    <w:p w:rsidR="002C149E" w:rsidRPr="002C149E" w:rsidRDefault="002C149E" w:rsidP="00AE3814">
      <w:pPr>
        <w:spacing w:after="0" w:line="317" w:lineRule="atLeast"/>
        <w:jc w:val="both"/>
        <w:rPr>
          <w:rFonts w:ascii="Times New Roman" w:eastAsia="Times New Roman" w:hAnsi="Times New Roman" w:cs="Times New Roman"/>
          <w:color w:val="000000"/>
          <w:sz w:val="20"/>
          <w:szCs w:val="20"/>
          <w:lang w:val="en-US" w:eastAsia="ru-RU"/>
        </w:rPr>
      </w:pPr>
      <w:r w:rsidRPr="002C149E">
        <w:rPr>
          <w:rFonts w:ascii="Times New Roman" w:eastAsia="Times New Roman" w:hAnsi="Times New Roman" w:cs="Times New Roman"/>
          <w:b/>
          <w:bCs/>
          <w:color w:val="000000"/>
          <w:sz w:val="28"/>
          <w:szCs w:val="28"/>
          <w:lang w:val="en-US" w:eastAsia="ru-RU"/>
        </w:rPr>
        <w:t>3.4.</w:t>
      </w: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b/>
          <w:bCs/>
          <w:color w:val="000000"/>
          <w:sz w:val="28"/>
          <w:szCs w:val="28"/>
          <w:lang w:val="en-US" w:eastAsia="ru-RU"/>
        </w:rPr>
        <w:t>control materials for the final stage of the lesson: tasks, tasks, tests, etc .:</w:t>
      </w:r>
    </w:p>
    <w:p w:rsidR="002C149E" w:rsidRPr="002C149E" w:rsidRDefault="002C149E" w:rsidP="00AE3814">
      <w:pPr>
        <w:numPr>
          <w:ilvl w:val="0"/>
          <w:numId w:val="15"/>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Possible causes of therapeutic inadequacy of drugs produced by different plants: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technology;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dose of drug substance;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sex and age of the patient;</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routes of administration;</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dosage form.</w:t>
      </w:r>
    </w:p>
    <w:p w:rsidR="002C149E" w:rsidRPr="002C149E" w:rsidRDefault="002C149E" w:rsidP="00AE3814">
      <w:pPr>
        <w:numPr>
          <w:ilvl w:val="0"/>
          <w:numId w:val="16"/>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The fastest pharmacological effect develops with the introduction of drugs: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Subcutaneously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Rectally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Orally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Intravenously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Intramuscularly</w:t>
      </w:r>
    </w:p>
    <w:p w:rsidR="002C149E" w:rsidRPr="002C149E" w:rsidRDefault="002C149E" w:rsidP="00AE3814">
      <w:pPr>
        <w:numPr>
          <w:ilvl w:val="0"/>
          <w:numId w:val="17"/>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In which way of drug management, the number of factors that will affect the bioavailability of the drug will be the largest:</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rectal</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inhalation</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oral</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parenteral</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sublingual</w:t>
      </w:r>
    </w:p>
    <w:p w:rsidR="002C149E" w:rsidRPr="002C149E" w:rsidRDefault="002C149E" w:rsidP="00AE3814">
      <w:pPr>
        <w:numPr>
          <w:ilvl w:val="0"/>
          <w:numId w:val="18"/>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The rectal route of administration of drugs provides their fast absorption. In which disease the bioavailability of drugs will deteriorate: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flu</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GRVZ</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hemorrhoids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sore throat</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gout</w:t>
      </w:r>
    </w:p>
    <w:p w:rsidR="002C149E" w:rsidRPr="002C149E" w:rsidRDefault="002C149E" w:rsidP="00AE3814">
      <w:pPr>
        <w:numPr>
          <w:ilvl w:val="0"/>
          <w:numId w:val="19"/>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Patient D., 37 years old, was given a parenteral antibiotic. But due to the high price of the drug, the patient refused it. The doctor suggested a lower-priced generic drug that was bioequivalent to the brand. What did the doctor mean by bioequivalence in the first place?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Has no side effects.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Manufactured by the same company.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Reaches the same concentration in the blood at the same dose.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Has the same number of dosage forms.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Has the same country of origin.</w:t>
      </w:r>
    </w:p>
    <w:p w:rsidR="002C149E" w:rsidRPr="002C149E" w:rsidRDefault="002C149E" w:rsidP="00AE3814">
      <w:pPr>
        <w:numPr>
          <w:ilvl w:val="0"/>
          <w:numId w:val="20"/>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lastRenderedPageBreak/>
        <w:t>           </w:t>
      </w:r>
      <w:r w:rsidRPr="002C149E">
        <w:rPr>
          <w:rFonts w:ascii="Times New Roman" w:eastAsia="Times New Roman" w:hAnsi="Times New Roman" w:cs="Times New Roman"/>
          <w:color w:val="000000"/>
          <w:sz w:val="28"/>
          <w:szCs w:val="28"/>
          <w:lang w:val="en-US" w:eastAsia="ru-RU"/>
        </w:rPr>
        <w:t>The pharmaceutical availability of ointments is determined by the following methods: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passive diffusion;</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diffusion into the gel;</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microscopy;</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colored complexes;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dialysis through a semipermeable membrane.</w:t>
      </w:r>
    </w:p>
    <w:p w:rsidR="002C149E" w:rsidRPr="002C149E" w:rsidRDefault="002C149E" w:rsidP="00AE3814">
      <w:pPr>
        <w:numPr>
          <w:ilvl w:val="0"/>
          <w:numId w:val="21"/>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Patient D., 67 years old, suffering from chronic hepatitis, the doctor prescribed the drug in half dose. What effect does the doctor want to avoid with such an appointment?</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Tachyphylaxis.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Cumulation.</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Addiction.</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Idiosyncrasy.</w:t>
      </w:r>
    </w:p>
    <w:p w:rsidR="002C149E" w:rsidRPr="002C149E" w:rsidRDefault="002C149E" w:rsidP="00AE3814">
      <w:pPr>
        <w:spacing w:after="0" w:line="240" w:lineRule="auto"/>
        <w:ind w:firstLine="567"/>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Sensitization</w:t>
      </w:r>
    </w:p>
    <w:p w:rsidR="002C149E" w:rsidRPr="002C149E" w:rsidRDefault="002C149E" w:rsidP="00AE3814">
      <w:pPr>
        <w:numPr>
          <w:ilvl w:val="0"/>
          <w:numId w:val="22"/>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Sometimes changes in drugs can not be determined by chemical methods, then use: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pharmacological methods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biological methods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pharmaceutical methods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clinical methods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hygienic methods</w:t>
      </w:r>
    </w:p>
    <w:p w:rsidR="002C149E" w:rsidRPr="002C149E" w:rsidRDefault="002C149E" w:rsidP="00AE3814">
      <w:pPr>
        <w:numPr>
          <w:ilvl w:val="0"/>
          <w:numId w:val="23"/>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What should be the temperature of the environment for the pharmacopoeial test to determine the "dissolution":</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A. 37 0C</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B. 36 0C</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C. 38 0С</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25 0C</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21 0C</w:t>
      </w:r>
    </w:p>
    <w:p w:rsidR="002C149E" w:rsidRPr="002C149E" w:rsidRDefault="002C149E" w:rsidP="00AE3814">
      <w:pPr>
        <w:numPr>
          <w:ilvl w:val="0"/>
          <w:numId w:val="24"/>
        </w:numPr>
        <w:spacing w:after="0" w:line="240" w:lineRule="auto"/>
        <w:ind w:left="0"/>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14"/>
          <w:szCs w:val="14"/>
          <w:lang w:val="en-US" w:eastAsia="ru-RU"/>
        </w:rPr>
        <w:t>     </w:t>
      </w:r>
      <w:r w:rsidRPr="002C149E">
        <w:rPr>
          <w:rFonts w:ascii="Times New Roman" w:eastAsia="Times New Roman" w:hAnsi="Times New Roman" w:cs="Times New Roman"/>
          <w:color w:val="000000"/>
          <w:sz w:val="28"/>
          <w:szCs w:val="28"/>
          <w:lang w:val="en-US" w:eastAsia="ru-RU"/>
        </w:rPr>
        <w:t>Which drug manufacturer has the right to produce a drug under the trade name "Aspirin":</w:t>
      </w:r>
    </w:p>
    <w:p w:rsidR="002C149E" w:rsidRPr="00F27FB4" w:rsidRDefault="002C149E" w:rsidP="00AE3814">
      <w:pPr>
        <w:spacing w:after="0" w:line="240" w:lineRule="auto"/>
        <w:ind w:firstLine="567"/>
        <w:rPr>
          <w:rFonts w:ascii="Times New Roman" w:eastAsia="Times New Roman" w:hAnsi="Times New Roman" w:cs="Times New Roman"/>
          <w:color w:val="000000"/>
          <w:sz w:val="28"/>
          <w:szCs w:val="28"/>
          <w:lang w:val="pl-PL" w:eastAsia="ru-RU"/>
        </w:rPr>
      </w:pPr>
      <w:r w:rsidRPr="00F27FB4">
        <w:rPr>
          <w:rFonts w:ascii="Times New Roman" w:eastAsia="Times New Roman" w:hAnsi="Times New Roman" w:cs="Times New Roman"/>
          <w:color w:val="000000"/>
          <w:sz w:val="28"/>
          <w:szCs w:val="28"/>
          <w:lang w:val="pl-PL" w:eastAsia="ru-RU"/>
        </w:rPr>
        <w:t>A. Darnytsia</w:t>
      </w:r>
    </w:p>
    <w:p w:rsidR="002C149E" w:rsidRPr="00F27FB4" w:rsidRDefault="002C149E" w:rsidP="00AE3814">
      <w:pPr>
        <w:spacing w:after="0" w:line="240" w:lineRule="auto"/>
        <w:ind w:firstLine="567"/>
        <w:rPr>
          <w:rFonts w:ascii="Times New Roman" w:eastAsia="Times New Roman" w:hAnsi="Times New Roman" w:cs="Times New Roman"/>
          <w:color w:val="000000"/>
          <w:sz w:val="28"/>
          <w:szCs w:val="28"/>
          <w:lang w:val="pl-PL" w:eastAsia="ru-RU"/>
        </w:rPr>
      </w:pPr>
      <w:r w:rsidRPr="00F27FB4">
        <w:rPr>
          <w:rFonts w:ascii="Times New Roman" w:eastAsia="Times New Roman" w:hAnsi="Times New Roman" w:cs="Times New Roman"/>
          <w:color w:val="000000"/>
          <w:sz w:val="28"/>
          <w:szCs w:val="28"/>
          <w:lang w:val="pl-PL" w:eastAsia="ru-RU"/>
        </w:rPr>
        <w:t>B. Pharmac</w:t>
      </w:r>
    </w:p>
    <w:p w:rsidR="002C149E" w:rsidRPr="00F27FB4" w:rsidRDefault="002C149E" w:rsidP="00AE3814">
      <w:pPr>
        <w:spacing w:after="0" w:line="240" w:lineRule="auto"/>
        <w:ind w:firstLine="567"/>
        <w:rPr>
          <w:rFonts w:ascii="Times New Roman" w:eastAsia="Times New Roman" w:hAnsi="Times New Roman" w:cs="Times New Roman"/>
          <w:color w:val="000000"/>
          <w:sz w:val="28"/>
          <w:szCs w:val="28"/>
          <w:lang w:val="pl-PL" w:eastAsia="ru-RU"/>
        </w:rPr>
      </w:pPr>
      <w:r w:rsidRPr="00F27FB4">
        <w:rPr>
          <w:rFonts w:ascii="Times New Roman" w:eastAsia="Times New Roman" w:hAnsi="Times New Roman" w:cs="Times New Roman"/>
          <w:color w:val="000000"/>
          <w:sz w:val="28"/>
          <w:szCs w:val="28"/>
          <w:lang w:val="pl-PL" w:eastAsia="ru-RU"/>
        </w:rPr>
        <w:t>C. Styrene</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D. Astellas</w:t>
      </w:r>
    </w:p>
    <w:p w:rsidR="002C149E" w:rsidRPr="002C149E" w:rsidRDefault="002C149E" w:rsidP="00AE3814">
      <w:pPr>
        <w:spacing w:after="0" w:line="240" w:lineRule="auto"/>
        <w:ind w:firstLine="567"/>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color w:val="000000"/>
          <w:sz w:val="28"/>
          <w:szCs w:val="28"/>
          <w:lang w:val="en-US" w:eastAsia="ru-RU"/>
        </w:rPr>
        <w:t>E. Bayer</w:t>
      </w:r>
    </w:p>
    <w:p w:rsidR="002C149E" w:rsidRPr="002C149E" w:rsidRDefault="002C149E" w:rsidP="00AE3814">
      <w:pPr>
        <w:spacing w:after="0" w:line="240" w:lineRule="auto"/>
        <w:jc w:val="both"/>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IV. Summing up</w:t>
      </w:r>
    </w:p>
    <w:p w:rsidR="002C149E" w:rsidRPr="00AE3814" w:rsidRDefault="002C149E" w:rsidP="00AE3814">
      <w:pPr>
        <w:spacing w:after="0" w:line="240" w:lineRule="auto"/>
        <w:jc w:val="center"/>
        <w:rPr>
          <w:rFonts w:ascii="Times New Roman" w:eastAsia="Times New Roman" w:hAnsi="Times New Roman" w:cs="Times New Roman"/>
          <w:color w:val="000000"/>
          <w:sz w:val="28"/>
          <w:szCs w:val="28"/>
          <w:lang w:val="en-US" w:eastAsia="ru-RU"/>
        </w:rPr>
      </w:pPr>
      <w:r w:rsidRPr="002C149E">
        <w:rPr>
          <w:rFonts w:ascii="Times New Roman" w:eastAsia="Times New Roman" w:hAnsi="Times New Roman" w:cs="Times New Roman"/>
          <w:b/>
          <w:bCs/>
          <w:color w:val="000000"/>
          <w:sz w:val="28"/>
          <w:szCs w:val="28"/>
          <w:lang w:val="en-US" w:eastAsia="ru-RU"/>
        </w:rPr>
        <w:t> </w:t>
      </w:r>
      <w:r w:rsidRPr="002C149E">
        <w:rPr>
          <w:rFonts w:ascii="Times New Roman" w:eastAsia="Times New Roman" w:hAnsi="Times New Roman" w:cs="Times New Roman"/>
          <w:color w:val="000000"/>
          <w:sz w:val="28"/>
          <w:szCs w:val="28"/>
          <w:lang w:val="en-US" w:eastAsia="ru-RU"/>
        </w:rPr>
        <w:t> </w:t>
      </w:r>
      <w:r w:rsidRPr="0005431D">
        <w:rPr>
          <w:rFonts w:ascii="Times New Roman" w:eastAsia="Times New Roman" w:hAnsi="Times New Roman" w:cs="Times New Roman"/>
          <w:b/>
          <w:bCs/>
          <w:color w:val="000000"/>
          <w:sz w:val="28"/>
          <w:szCs w:val="28"/>
          <w:lang w:val="en-US" w:eastAsia="ru-RU"/>
        </w:rPr>
        <w:t>List of recommended reading</w:t>
      </w:r>
    </w:p>
    <w:p w:rsidR="002C149E" w:rsidRPr="0005431D" w:rsidRDefault="002C149E" w:rsidP="00AE3814">
      <w:pPr>
        <w:shd w:val="clear" w:color="auto" w:fill="FFFFFF"/>
        <w:spacing w:after="0" w:line="240" w:lineRule="auto"/>
        <w:jc w:val="center"/>
        <w:rPr>
          <w:rFonts w:ascii="Times New Roman" w:hAnsi="Times New Roman"/>
          <w:b/>
          <w:sz w:val="28"/>
          <w:szCs w:val="28"/>
          <w:lang w:val="en-US"/>
        </w:rPr>
      </w:pPr>
      <w:r w:rsidRPr="0005431D">
        <w:rPr>
          <w:rFonts w:ascii="Times New Roman" w:hAnsi="Times New Roman"/>
          <w:b/>
          <w:sz w:val="28"/>
          <w:szCs w:val="28"/>
          <w:lang w:val="en-US"/>
        </w:rPr>
        <w:t>Main:</w:t>
      </w:r>
    </w:p>
    <w:p w:rsidR="00E56CC1" w:rsidRDefault="00E56CC1" w:rsidP="00E56CC1">
      <w:pPr>
        <w:tabs>
          <w:tab w:val="left" w:pos="426"/>
          <w:tab w:val="left" w:pos="993"/>
        </w:tabs>
        <w:spacing w:after="0" w:line="240" w:lineRule="auto"/>
        <w:ind w:firstLine="567"/>
        <w:jc w:val="both"/>
        <w:rPr>
          <w:rFonts w:ascii="Times New Roman" w:hAnsi="Times New Roman"/>
          <w:sz w:val="28"/>
          <w:szCs w:val="28"/>
          <w:lang w:val="uk-UA"/>
        </w:rPr>
      </w:pPr>
      <w:r w:rsidRPr="00E56CC1">
        <w:rPr>
          <w:rFonts w:ascii="Times New Roman" w:hAnsi="Times New Roman" w:cs="Times New Roman"/>
          <w:sz w:val="28"/>
          <w:szCs w:val="28"/>
          <w:lang w:val="en-US"/>
        </w:rPr>
        <w:t xml:space="preserve">1. </w:t>
      </w:r>
      <w:r w:rsidRPr="00610AFA">
        <w:rPr>
          <w:rFonts w:ascii="Times New Roman" w:hAnsi="Times New Roman" w:cs="Times New Roman"/>
          <w:sz w:val="28"/>
          <w:szCs w:val="28"/>
        </w:rPr>
        <w:t>Біофармація</w:t>
      </w:r>
      <w:r w:rsidRPr="00E56CC1">
        <w:rPr>
          <w:rFonts w:ascii="Times New Roman" w:hAnsi="Times New Roman" w:cs="Times New Roman"/>
          <w:sz w:val="28"/>
          <w:szCs w:val="28"/>
          <w:lang w:val="en-US"/>
        </w:rPr>
        <w:t xml:space="preserve"> : </w:t>
      </w:r>
      <w:r w:rsidRPr="00610AFA">
        <w:rPr>
          <w:rFonts w:ascii="Times New Roman" w:hAnsi="Times New Roman" w:cs="Times New Roman"/>
          <w:sz w:val="28"/>
          <w:szCs w:val="28"/>
        </w:rPr>
        <w:t>підруч</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для</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студентів</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закл</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вищ</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освіти</w:t>
      </w:r>
      <w:r w:rsidRPr="00E56CC1">
        <w:rPr>
          <w:rFonts w:ascii="Times New Roman" w:hAnsi="Times New Roman" w:cs="Times New Roman"/>
          <w:sz w:val="28"/>
          <w:szCs w:val="28"/>
          <w:lang w:val="en-US"/>
        </w:rPr>
        <w:t xml:space="preserve"> / </w:t>
      </w:r>
      <w:r w:rsidRPr="00610AFA">
        <w:rPr>
          <w:rFonts w:ascii="Times New Roman" w:hAnsi="Times New Roman" w:cs="Times New Roman"/>
          <w:sz w:val="28"/>
          <w:szCs w:val="28"/>
        </w:rPr>
        <w:t>О</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І</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Тихонов</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та</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ін</w:t>
      </w:r>
      <w:r w:rsidRPr="00E56CC1">
        <w:rPr>
          <w:rFonts w:ascii="Times New Roman" w:hAnsi="Times New Roman" w:cs="Times New Roman"/>
          <w:sz w:val="28"/>
          <w:szCs w:val="28"/>
          <w:lang w:val="en-US"/>
        </w:rPr>
        <w:t xml:space="preserve">.] ; </w:t>
      </w:r>
      <w:r w:rsidRPr="00610AFA">
        <w:rPr>
          <w:rFonts w:ascii="Times New Roman" w:hAnsi="Times New Roman" w:cs="Times New Roman"/>
          <w:sz w:val="28"/>
          <w:szCs w:val="28"/>
        </w:rPr>
        <w:t>за</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ред</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 xml:space="preserve">О. І. Тихонова. – 2-ге вид., перероб. і допов. – Харків : НФаУ: Золоті сторінки, 2019. – 224 с </w:t>
      </w:r>
    </w:p>
    <w:p w:rsidR="00E56CC1" w:rsidRDefault="00E56CC1" w:rsidP="00E56CC1">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lastRenderedPageBreak/>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E56CC1" w:rsidRDefault="00E56CC1" w:rsidP="00E56CC1">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E56CC1" w:rsidRDefault="00E56CC1" w:rsidP="00E56CC1">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 4. Настанова СТ-Н МОЗУ 42-7.2:2018 Лікарські засоби дослідження біоеквівалентності. – Київ, 2018. – 77 с. </w:t>
      </w:r>
    </w:p>
    <w:p w:rsidR="005A2E5B" w:rsidRPr="00AE3814" w:rsidRDefault="005A2E5B" w:rsidP="00E56CC1">
      <w:pPr>
        <w:pStyle w:val="a4"/>
        <w:shd w:val="clear" w:color="auto" w:fill="FFFFFF"/>
        <w:spacing w:after="0" w:line="240" w:lineRule="auto"/>
        <w:jc w:val="both"/>
        <w:rPr>
          <w:rFonts w:ascii="Times New Roman" w:hAnsi="Times New Roman"/>
          <w:b/>
          <w:color w:val="000000"/>
          <w:sz w:val="28"/>
          <w:szCs w:val="28"/>
          <w:lang w:val="uk-UA"/>
        </w:rPr>
      </w:pPr>
    </w:p>
    <w:sectPr w:rsidR="005A2E5B" w:rsidRPr="00AE3814" w:rsidSect="002C149E">
      <w:headerReference w:type="default" r:id="rId12"/>
      <w:footerReference w:type="default" r:id="rId13"/>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0C82" w:rsidRDefault="00800C82" w:rsidP="00AE3814">
      <w:pPr>
        <w:spacing w:after="0" w:line="240" w:lineRule="auto"/>
      </w:pPr>
      <w:r>
        <w:separator/>
      </w:r>
    </w:p>
  </w:endnote>
  <w:endnote w:type="continuationSeparator" w:id="1">
    <w:p w:rsidR="00800C82" w:rsidRDefault="00800C82" w:rsidP="00AE38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ucida Console">
    <w:panose1 w:val="020B0609040504020204"/>
    <w:charset w:val="CC"/>
    <w:family w:val="modern"/>
    <w:pitch w:val="fixed"/>
    <w:sig w:usb0="8000028F" w:usb1="00001800" w:usb2="00000000" w:usb3="00000000" w:csb0="0000001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i/>
      </w:rPr>
      <w:id w:val="-531487699"/>
    </w:sdtPr>
    <w:sdtContent>
      <w:p w:rsidR="00AE3814" w:rsidRPr="00796C7B" w:rsidRDefault="00796C7B" w:rsidP="00796C7B">
        <w:pPr>
          <w:pStyle w:val="a5"/>
          <w:ind w:firstLine="709"/>
          <w:rPr>
            <w:i/>
            <w:lang w:val="en-US"/>
          </w:rPr>
        </w:pPr>
        <w:r w:rsidRPr="00345A8B">
          <w:rPr>
            <w:rFonts w:ascii="Times New Roman" w:hAnsi="Times New Roman"/>
            <w:i/>
            <w:sz w:val="24"/>
            <w:szCs w:val="24"/>
            <w:lang w:val="en-US"/>
          </w:rPr>
          <w:t xml:space="preserve">Methodical development of practices, OPP </w:t>
        </w:r>
        <w:r w:rsidRPr="00345A8B">
          <w:rPr>
            <w:rFonts w:ascii="Times New Roman" w:hAnsi="Times New Roman"/>
            <w:i/>
            <w:sz w:val="24"/>
            <w:szCs w:val="24"/>
            <w:lang w:val="uk-UA"/>
          </w:rPr>
          <w:t>«</w:t>
        </w:r>
        <w:r w:rsidRPr="00345A8B">
          <w:rPr>
            <w:rFonts w:ascii="Times New Roman" w:hAnsi="Times New Roman"/>
            <w:i/>
            <w:sz w:val="24"/>
            <w:szCs w:val="24"/>
            <w:lang w:val="en-US"/>
          </w:rPr>
          <w:t xml:space="preserve">Pharmacy, industrial pharmacy», 5th year, Faculty of Pharmacy, Discipline: </w:t>
        </w:r>
        <w:r w:rsidRPr="00345A8B">
          <w:rPr>
            <w:rFonts w:ascii="Times New Roman" w:hAnsi="Times New Roman"/>
            <w:i/>
            <w:sz w:val="24"/>
            <w:szCs w:val="24"/>
            <w:lang w:val="uk-UA"/>
          </w:rPr>
          <w:t>«</w:t>
        </w:r>
        <w:r w:rsidRPr="00345A8B">
          <w:rPr>
            <w:rFonts w:ascii="Times New Roman" w:hAnsi="Times New Roman"/>
            <w:i/>
            <w:sz w:val="24"/>
            <w:szCs w:val="24"/>
            <w:lang w:val="en-US"/>
          </w:rPr>
          <w:t>Biopharmacy</w:t>
        </w:r>
        <w:r w:rsidRPr="00345A8B">
          <w:rPr>
            <w:rFonts w:ascii="Times New Roman" w:hAnsi="Times New Roman"/>
            <w:i/>
            <w:sz w:val="24"/>
            <w:szCs w:val="24"/>
            <w:lang w:val="uk-UA"/>
          </w:rPr>
          <w:t>»</w:t>
        </w:r>
        <w:r w:rsidRPr="00345A8B">
          <w:rPr>
            <w:rFonts w:ascii="Times New Roman" w:hAnsi="Times New Roman"/>
            <w:i/>
            <w:sz w:val="24"/>
            <w:szCs w:val="24"/>
            <w:lang w:val="en-US"/>
          </w:rPr>
          <w:t xml:space="preserve"> p. </w:t>
        </w:r>
        <w:sdt>
          <w:sdtPr>
            <w:rPr>
              <w:i/>
            </w:rPr>
            <w:id w:val="-255985702"/>
          </w:sdtPr>
          <w:sdtContent>
            <w:r w:rsidR="00FA5383" w:rsidRPr="00345A8B">
              <w:rPr>
                <w:i/>
              </w:rPr>
              <w:fldChar w:fldCharType="begin"/>
            </w:r>
            <w:r w:rsidRPr="00345A8B">
              <w:rPr>
                <w:i/>
                <w:lang w:val="en-US"/>
              </w:rPr>
              <w:instrText>PAGE   \* MERGEFORMAT</w:instrText>
            </w:r>
            <w:r w:rsidR="00FA5383" w:rsidRPr="00345A8B">
              <w:rPr>
                <w:i/>
              </w:rPr>
              <w:fldChar w:fldCharType="separate"/>
            </w:r>
            <w:r w:rsidR="00E56CC1">
              <w:rPr>
                <w:i/>
                <w:noProof/>
                <w:lang w:val="en-US"/>
              </w:rPr>
              <w:t>15</w:t>
            </w:r>
            <w:r w:rsidR="00FA5383" w:rsidRPr="00345A8B">
              <w:rPr>
                <w:i/>
              </w:rPr>
              <w:fldChar w:fldCharType="end"/>
            </w:r>
          </w:sdtContent>
        </w:sdt>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0C82" w:rsidRDefault="00800C82" w:rsidP="00AE3814">
      <w:pPr>
        <w:spacing w:after="0" w:line="240" w:lineRule="auto"/>
      </w:pPr>
      <w:r>
        <w:separator/>
      </w:r>
    </w:p>
  </w:footnote>
  <w:footnote w:type="continuationSeparator" w:id="1">
    <w:p w:rsidR="00800C82" w:rsidRDefault="00800C82" w:rsidP="00AE381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814" w:rsidRPr="00AE3814" w:rsidRDefault="00AE3814" w:rsidP="00AE3814">
    <w:pPr>
      <w:pStyle w:val="a5"/>
      <w:ind w:firstLine="567"/>
      <w:jc w:val="both"/>
      <w:rPr>
        <w:rFonts w:ascii="Times New Roman" w:hAnsi="Times New Roman"/>
        <w:i/>
        <w:sz w:val="24"/>
        <w:szCs w:val="24"/>
        <w:lang w:val="en-US"/>
      </w:rPr>
    </w:pPr>
    <w:r w:rsidRPr="00AE3814">
      <w:rPr>
        <w:rFonts w:ascii="Times New Roman" w:hAnsi="Times New Roman"/>
        <w:i/>
        <w:sz w:val="24"/>
        <w:szCs w:val="24"/>
        <w:lang w:val="en-US"/>
      </w:rPr>
      <w:t xml:space="preserve">ONMedU, Department of Drug Technology Practice №8. </w:t>
    </w:r>
    <w:r w:rsidRPr="00AE3814">
      <w:rPr>
        <w:rFonts w:ascii="Times New Roman" w:eastAsia="Times New Roman" w:hAnsi="Times New Roman" w:cs="Times New Roman"/>
        <w:i/>
        <w:color w:val="000000"/>
        <w:sz w:val="24"/>
        <w:szCs w:val="24"/>
        <w:lang w:val="uk-UA" w:eastAsia="ru-RU"/>
      </w:rPr>
      <w:t>«</w:t>
    </w:r>
    <w:r w:rsidRPr="00AE3814">
      <w:rPr>
        <w:rFonts w:ascii="Times New Roman" w:eastAsia="Times New Roman" w:hAnsi="Times New Roman" w:cs="Times New Roman"/>
        <w:bCs/>
        <w:i/>
        <w:color w:val="000000"/>
        <w:sz w:val="24"/>
        <w:szCs w:val="24"/>
        <w:lang w:val="en-US" w:eastAsia="ru-RU"/>
      </w:rPr>
      <w:t>Bioequivalence of drugs. Bioequivalence assessment.</w:t>
    </w:r>
    <w:r w:rsidRPr="00AE3814">
      <w:rPr>
        <w:rFonts w:ascii="Times New Roman" w:eastAsia="Times New Roman" w:hAnsi="Times New Roman" w:cs="Times New Roman"/>
        <w:bCs/>
        <w:i/>
        <w:color w:val="000000"/>
        <w:sz w:val="24"/>
        <w:szCs w:val="24"/>
        <w:lang w:val="uk-UA" w:eastAsia="ru-RU"/>
      </w:rPr>
      <w:t xml:space="preserve"> »</w:t>
    </w:r>
  </w:p>
  <w:p w:rsidR="00AE3814" w:rsidRPr="00AE3814" w:rsidRDefault="00AE3814">
    <w:pPr>
      <w:pStyle w:val="a5"/>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AAC"/>
    <w:multiLevelType w:val="multilevel"/>
    <w:tmpl w:val="33161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050D47"/>
    <w:multiLevelType w:val="multilevel"/>
    <w:tmpl w:val="F7BA58E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AF10380"/>
    <w:multiLevelType w:val="multilevel"/>
    <w:tmpl w:val="DDA81CD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AFF19E3"/>
    <w:multiLevelType w:val="multilevel"/>
    <w:tmpl w:val="C318022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6D05437"/>
    <w:multiLevelType w:val="multilevel"/>
    <w:tmpl w:val="F2540F1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8455400"/>
    <w:multiLevelType w:val="multilevel"/>
    <w:tmpl w:val="A0624B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3C6E1B"/>
    <w:multiLevelType w:val="multilevel"/>
    <w:tmpl w:val="C1C8C7D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59D438B"/>
    <w:multiLevelType w:val="multilevel"/>
    <w:tmpl w:val="ECE498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0C946C6"/>
    <w:multiLevelType w:val="multilevel"/>
    <w:tmpl w:val="B30205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3C24986"/>
    <w:multiLevelType w:val="multilevel"/>
    <w:tmpl w:val="AD9A9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6533D6F"/>
    <w:multiLevelType w:val="multilevel"/>
    <w:tmpl w:val="3A24FEA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78E0C73"/>
    <w:multiLevelType w:val="multilevel"/>
    <w:tmpl w:val="8CDC627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AD35F5E"/>
    <w:multiLevelType w:val="multilevel"/>
    <w:tmpl w:val="D91CB38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B840137"/>
    <w:multiLevelType w:val="multilevel"/>
    <w:tmpl w:val="B1A49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4007D1E"/>
    <w:multiLevelType w:val="multilevel"/>
    <w:tmpl w:val="74EAAA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50C0EC3"/>
    <w:multiLevelType w:val="multilevel"/>
    <w:tmpl w:val="EB688F7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A9A2F2B"/>
    <w:multiLevelType w:val="multilevel"/>
    <w:tmpl w:val="9B3E2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CA50DFA"/>
    <w:multiLevelType w:val="multilevel"/>
    <w:tmpl w:val="ADA667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E851147"/>
    <w:multiLevelType w:val="multilevel"/>
    <w:tmpl w:val="08D896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FD17DBA"/>
    <w:multiLevelType w:val="multilevel"/>
    <w:tmpl w:val="56D0DAA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2F624D4"/>
    <w:multiLevelType w:val="multilevel"/>
    <w:tmpl w:val="2C3201A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1C2DAC"/>
    <w:multiLevelType w:val="multilevel"/>
    <w:tmpl w:val="DC80B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789945DF"/>
    <w:multiLevelType w:val="multilevel"/>
    <w:tmpl w:val="83ACB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AA42EC6"/>
    <w:multiLevelType w:val="multilevel"/>
    <w:tmpl w:val="1BDC39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C4A77FC"/>
    <w:multiLevelType w:val="multilevel"/>
    <w:tmpl w:val="A55C22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C812EB3"/>
    <w:multiLevelType w:val="multilevel"/>
    <w:tmpl w:val="78A0006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1"/>
  </w:num>
  <w:num w:numId="2">
    <w:abstractNumId w:val="16"/>
  </w:num>
  <w:num w:numId="3">
    <w:abstractNumId w:val="24"/>
  </w:num>
  <w:num w:numId="4">
    <w:abstractNumId w:val="22"/>
  </w:num>
  <w:num w:numId="5">
    <w:abstractNumId w:val="9"/>
  </w:num>
  <w:num w:numId="6">
    <w:abstractNumId w:val="23"/>
  </w:num>
  <w:num w:numId="7">
    <w:abstractNumId w:val="14"/>
  </w:num>
  <w:num w:numId="8">
    <w:abstractNumId w:val="11"/>
  </w:num>
  <w:num w:numId="9">
    <w:abstractNumId w:val="8"/>
  </w:num>
  <w:num w:numId="10">
    <w:abstractNumId w:val="10"/>
  </w:num>
  <w:num w:numId="11">
    <w:abstractNumId w:val="1"/>
  </w:num>
  <w:num w:numId="12">
    <w:abstractNumId w:val="12"/>
  </w:num>
  <w:num w:numId="13">
    <w:abstractNumId w:val="20"/>
  </w:num>
  <w:num w:numId="14">
    <w:abstractNumId w:val="19"/>
  </w:num>
  <w:num w:numId="15">
    <w:abstractNumId w:val="18"/>
  </w:num>
  <w:num w:numId="16">
    <w:abstractNumId w:val="17"/>
  </w:num>
  <w:num w:numId="17">
    <w:abstractNumId w:val="25"/>
  </w:num>
  <w:num w:numId="18">
    <w:abstractNumId w:val="4"/>
  </w:num>
  <w:num w:numId="19">
    <w:abstractNumId w:val="7"/>
  </w:num>
  <w:num w:numId="20">
    <w:abstractNumId w:val="5"/>
  </w:num>
  <w:num w:numId="21">
    <w:abstractNumId w:val="3"/>
  </w:num>
  <w:num w:numId="22">
    <w:abstractNumId w:val="2"/>
  </w:num>
  <w:num w:numId="23">
    <w:abstractNumId w:val="15"/>
  </w:num>
  <w:num w:numId="24">
    <w:abstractNumId w:val="6"/>
  </w:num>
  <w:num w:numId="25">
    <w:abstractNumId w:val="13"/>
  </w:num>
  <w:num w:numId="26">
    <w:abstractNumId w:val="0"/>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characterSpacingControl w:val="doNotCompress"/>
  <w:footnotePr>
    <w:footnote w:id="0"/>
    <w:footnote w:id="1"/>
  </w:footnotePr>
  <w:endnotePr>
    <w:endnote w:id="0"/>
    <w:endnote w:id="1"/>
  </w:endnotePr>
  <w:compat/>
  <w:rsids>
    <w:rsidRoot w:val="002C149E"/>
    <w:rsid w:val="00187047"/>
    <w:rsid w:val="002040F9"/>
    <w:rsid w:val="002C149E"/>
    <w:rsid w:val="00304D9F"/>
    <w:rsid w:val="0055243C"/>
    <w:rsid w:val="005A2E5B"/>
    <w:rsid w:val="005C7C2F"/>
    <w:rsid w:val="0063580A"/>
    <w:rsid w:val="0070793D"/>
    <w:rsid w:val="00796C7B"/>
    <w:rsid w:val="00800C82"/>
    <w:rsid w:val="00900CF9"/>
    <w:rsid w:val="009A7854"/>
    <w:rsid w:val="00AE3068"/>
    <w:rsid w:val="00AE3814"/>
    <w:rsid w:val="00CC4CCF"/>
    <w:rsid w:val="00CF136E"/>
    <w:rsid w:val="00E35774"/>
    <w:rsid w:val="00E56CC1"/>
    <w:rsid w:val="00F27FB4"/>
    <w:rsid w:val="00F75CCD"/>
    <w:rsid w:val="00FA1BDC"/>
    <w:rsid w:val="00FA538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0" type="connector" idref="#Соединительная линия уступом 77"/>
        <o:r id="V:Rule11" type="connector" idref="#Прямая со стрелкой 73"/>
        <o:r id="V:Rule12" type="connector" idref="#Прямая со стрелкой 78"/>
        <o:r id="V:Rule13" type="connector" idref="#Прямая со стрелкой 67"/>
        <o:r id="V:Rule14" type="connector" idref="#Прямая со стрелкой 69"/>
        <o:r id="V:Rule15" type="connector" idref="#Прямая со стрелкой 74"/>
        <o:r id="V:Rule16" type="connector" idref="#Прямая со стрелкой 71"/>
        <o:r id="V:Rule17" type="connector" idref="#Прямая со стрелкой 65"/>
        <o:r id="V:Rule18" type="connector" idref="#Прямая со стрелкой 6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580A"/>
  </w:style>
  <w:style w:type="paragraph" w:styleId="5">
    <w:name w:val="heading 5"/>
    <w:basedOn w:val="a"/>
    <w:link w:val="50"/>
    <w:uiPriority w:val="9"/>
    <w:qFormat/>
    <w:rsid w:val="002C149E"/>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2C149E"/>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2C149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2C149E"/>
    <w:pPr>
      <w:ind w:left="720"/>
      <w:contextualSpacing/>
    </w:pPr>
    <w:rPr>
      <w:rFonts w:eastAsiaTheme="minorEastAsia" w:cs="Times New Roman"/>
      <w:lang w:eastAsia="ru-RU"/>
    </w:rPr>
  </w:style>
  <w:style w:type="paragraph" w:styleId="a5">
    <w:name w:val="header"/>
    <w:basedOn w:val="a"/>
    <w:link w:val="a6"/>
    <w:uiPriority w:val="99"/>
    <w:unhideWhenUsed/>
    <w:rsid w:val="00AE3814"/>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E3814"/>
  </w:style>
  <w:style w:type="paragraph" w:styleId="a7">
    <w:name w:val="footer"/>
    <w:basedOn w:val="a"/>
    <w:link w:val="a8"/>
    <w:uiPriority w:val="99"/>
    <w:unhideWhenUsed/>
    <w:rsid w:val="00AE3814"/>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E3814"/>
  </w:style>
  <w:style w:type="paragraph" w:styleId="a9">
    <w:name w:val="Balloon Text"/>
    <w:basedOn w:val="a"/>
    <w:link w:val="aa"/>
    <w:uiPriority w:val="99"/>
    <w:semiHidden/>
    <w:unhideWhenUsed/>
    <w:rsid w:val="00796C7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796C7B"/>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51083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7782D1-AB06-44A5-B007-F1406DA0D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16</Pages>
  <Words>4683</Words>
  <Characters>26697</Characters>
  <Application>Microsoft Office Word</Application>
  <DocSecurity>0</DocSecurity>
  <Lines>222</Lines>
  <Paragraphs>62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31318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11</cp:revision>
  <cp:lastPrinted>2022-02-16T14:59:00Z</cp:lastPrinted>
  <dcterms:created xsi:type="dcterms:W3CDTF">2021-10-19T22:00:00Z</dcterms:created>
  <dcterms:modified xsi:type="dcterms:W3CDTF">2023-02-02T17:03:00Z</dcterms:modified>
</cp:coreProperties>
</file>