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ODESSA NATIONAL MEDICAL UNIVERSITY</w:t>
      </w:r>
    </w:p>
    <w:p w:rsidR="00A52DEC" w:rsidRPr="00A52DEC" w:rsidRDefault="00A52DEC" w:rsidP="00A52DEC">
      <w:pPr>
        <w:spacing w:after="0" w:line="240" w:lineRule="auto"/>
        <w:jc w:val="center"/>
        <w:outlineLvl w:val="4"/>
        <w:rPr>
          <w:rFonts w:ascii="Calibri" w:hAnsi="Calibri" w:cs="Calibri"/>
          <w:b/>
          <w:bCs/>
          <w:color w:val="000000"/>
          <w:sz w:val="28"/>
          <w:szCs w:val="28"/>
          <w:lang w:val="en-US" w:eastAsia="ru-RU"/>
        </w:rPr>
      </w:pPr>
      <w:r w:rsidRPr="00A52DEC">
        <w:rPr>
          <w:rFonts w:ascii="Times New Roman" w:hAnsi="Times New Roman"/>
          <w:b/>
          <w:bCs/>
          <w:caps/>
          <w:color w:val="000000"/>
          <w:sz w:val="28"/>
          <w:szCs w:val="28"/>
          <w:lang w:val="en-US" w:eastAsia="ru-RU"/>
        </w:rPr>
        <w:t xml:space="preserve">DEPARTMENT OF </w:t>
      </w:r>
      <w:r w:rsidR="0081386A">
        <w:rPr>
          <w:rFonts w:ascii="Times New Roman" w:hAnsi="Times New Roman"/>
          <w:b/>
          <w:bCs/>
          <w:caps/>
          <w:color w:val="000000"/>
          <w:sz w:val="28"/>
          <w:szCs w:val="28"/>
          <w:lang w:val="en-US" w:eastAsia="ru-RU"/>
        </w:rPr>
        <w:t>DRUGS</w:t>
      </w:r>
      <w:r w:rsidRPr="00A52DEC">
        <w:rPr>
          <w:rFonts w:ascii="Times New Roman" w:hAnsi="Times New Roman"/>
          <w:b/>
          <w:bCs/>
          <w:caps/>
          <w:color w:val="000000"/>
          <w:sz w:val="28"/>
          <w:szCs w:val="28"/>
          <w:lang w:val="en-US" w:eastAsia="ru-RU"/>
        </w:rPr>
        <w:t xml:space="preserve"> TECHNOLOGY</w:t>
      </w: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50002F" w:rsidRPr="005A59BB" w:rsidRDefault="0050002F" w:rsidP="0050002F">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50002F" w:rsidRPr="005A59BB" w:rsidRDefault="0050002F" w:rsidP="0050002F">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50002F" w:rsidRPr="005A59BB" w:rsidRDefault="00260864" w:rsidP="0050002F">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50002F" w:rsidRPr="005A59BB">
        <w:rPr>
          <w:rFonts w:ascii="Times New Roman" w:hAnsi="Times New Roman"/>
          <w:color w:val="000000"/>
          <w:sz w:val="28"/>
          <w:szCs w:val="28"/>
          <w:lang w:val="en-US" w:eastAsia="ru-RU"/>
        </w:rPr>
        <w:t>(BorisyukI.Yu.)</w:t>
      </w:r>
    </w:p>
    <w:p w:rsidR="0050002F" w:rsidRPr="005A59BB" w:rsidRDefault="0050002F" w:rsidP="0050002F">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0002F" w:rsidRPr="005A59BB" w:rsidRDefault="00AD7031" w:rsidP="0050002F">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50002F" w:rsidRPr="005A59BB">
        <w:rPr>
          <w:rFonts w:ascii="Times New Roman" w:hAnsi="Times New Roman"/>
          <w:color w:val="000000"/>
          <w:sz w:val="28"/>
          <w:szCs w:val="28"/>
          <w:lang w:val="en-US" w:eastAsia="ru-RU"/>
        </w:rPr>
        <w:t>»</w:t>
      </w:r>
      <w:r w:rsidR="0050002F">
        <w:rPr>
          <w:rFonts w:ascii="Times New Roman" w:hAnsi="Times New Roman"/>
          <w:color w:val="000000"/>
          <w:sz w:val="28"/>
          <w:szCs w:val="28"/>
          <w:lang w:val="en-US" w:eastAsia="ru-RU"/>
        </w:rPr>
        <w:t xml:space="preserve"> a</w:t>
      </w:r>
      <w:r w:rsidR="0050002F"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50002F">
        <w:rPr>
          <w:rFonts w:ascii="Times New Roman" w:hAnsi="Times New Roman"/>
          <w:color w:val="000000"/>
          <w:sz w:val="28"/>
          <w:szCs w:val="28"/>
          <w:lang w:val="en-US" w:eastAsia="ru-RU"/>
        </w:rPr>
        <w:t xml:space="preserve"> y.</w:t>
      </w:r>
    </w:p>
    <w:p w:rsidR="00A52DEC" w:rsidRPr="00A52DEC" w:rsidRDefault="00A52DEC" w:rsidP="00A52DEC">
      <w:pPr>
        <w:spacing w:after="0" w:line="240" w:lineRule="auto"/>
        <w:rPr>
          <w:rFonts w:ascii="Calibri" w:hAnsi="Calibri" w:cs="Calibri"/>
          <w:color w:val="000000"/>
          <w:sz w:val="28"/>
          <w:szCs w:val="28"/>
          <w:lang w:val="en-US" w:eastAsia="ru-RU"/>
        </w:rPr>
      </w:pPr>
    </w:p>
    <w:p w:rsidR="00A52DEC" w:rsidRPr="00A52DEC" w:rsidRDefault="00A52DEC" w:rsidP="00A52DEC">
      <w:pPr>
        <w:spacing w:after="0" w:line="240" w:lineRule="auto"/>
        <w:rPr>
          <w:rFonts w:ascii="Calibri" w:hAnsi="Calibri" w:cs="Calibri"/>
          <w:color w:val="000000"/>
          <w:sz w:val="28"/>
          <w:szCs w:val="28"/>
          <w:lang w:val="en-US" w:eastAsia="ru-RU"/>
        </w:rPr>
      </w:pPr>
    </w:p>
    <w:p w:rsidR="00A52DEC" w:rsidRPr="00A52DEC" w:rsidRDefault="00A52DEC" w:rsidP="00A52DEC">
      <w:pPr>
        <w:spacing w:after="0" w:line="240" w:lineRule="auto"/>
        <w:rPr>
          <w:rFonts w:ascii="Calibri" w:hAnsi="Calibri" w:cs="Calibri"/>
          <w:color w:val="000000"/>
          <w:sz w:val="28"/>
          <w:szCs w:val="28"/>
          <w:lang w:val="en-US" w:eastAsia="ru-RU"/>
        </w:rPr>
      </w:pPr>
    </w:p>
    <w:p w:rsidR="00A52DEC" w:rsidRPr="00A52DEC" w:rsidRDefault="00A52DEC" w:rsidP="00A52DEC">
      <w:pPr>
        <w:spacing w:after="0" w:line="322" w:lineRule="atLeast"/>
        <w:jc w:val="center"/>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METHODICAL DEVELOPMENT OF PRACTICAL LESSON</w:t>
      </w:r>
    </w:p>
    <w:p w:rsidR="00A52DEC" w:rsidRPr="00A52DEC" w:rsidRDefault="00A52DEC" w:rsidP="00A52DEC">
      <w:pPr>
        <w:spacing w:after="0" w:line="322" w:lineRule="atLeast"/>
        <w:jc w:val="both"/>
        <w:rPr>
          <w:rFonts w:ascii="Calibri" w:hAnsi="Calibri" w:cs="Calibri"/>
          <w:color w:val="000000"/>
          <w:sz w:val="28"/>
          <w:szCs w:val="28"/>
          <w:lang w:val="en-US" w:eastAsia="ru-RU"/>
        </w:rPr>
      </w:pPr>
    </w:p>
    <w:p w:rsidR="00A52DEC" w:rsidRPr="00A52DEC" w:rsidRDefault="00A52DEC" w:rsidP="00A52DEC">
      <w:pPr>
        <w:spacing w:after="0" w:line="322" w:lineRule="atLeast"/>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xml:space="preserve">Course: </w:t>
      </w:r>
      <w:r w:rsidRPr="00A52DEC">
        <w:rPr>
          <w:rFonts w:ascii="Times New Roman" w:hAnsi="Times New Roman"/>
          <w:color w:val="000000"/>
          <w:sz w:val="28"/>
          <w:szCs w:val="28"/>
          <w:u w:val="single"/>
          <w:lang w:val="en-US" w:eastAsia="ru-RU"/>
        </w:rPr>
        <w:t>5</w:t>
      </w:r>
      <w:r w:rsidRPr="00A52DEC">
        <w:rPr>
          <w:rFonts w:ascii="Times New Roman" w:hAnsi="Times New Roman"/>
          <w:color w:val="000000"/>
          <w:sz w:val="28"/>
          <w:szCs w:val="28"/>
          <w:lang w:val="en-US" w:eastAsia="ru-RU"/>
        </w:rPr>
        <w:t xml:space="preserve">Faculty: </w:t>
      </w:r>
      <w:r w:rsidRPr="00A52DEC">
        <w:rPr>
          <w:rFonts w:ascii="Times New Roman" w:hAnsi="Times New Roman"/>
          <w:color w:val="000000"/>
          <w:sz w:val="28"/>
          <w:szCs w:val="28"/>
          <w:u w:val="single"/>
          <w:lang w:val="en-US" w:eastAsia="ru-RU"/>
        </w:rPr>
        <w:t>Pharmaceutical</w:t>
      </w:r>
    </w:p>
    <w:p w:rsidR="00A52DEC" w:rsidRPr="00A52DEC" w:rsidRDefault="00A52DEC" w:rsidP="00A52DEC">
      <w:pPr>
        <w:spacing w:after="0" w:line="322" w:lineRule="atLeast"/>
        <w:jc w:val="center"/>
        <w:rPr>
          <w:rFonts w:ascii="Calibri" w:hAnsi="Calibri" w:cs="Calibri"/>
          <w:color w:val="000000"/>
          <w:sz w:val="28"/>
          <w:szCs w:val="28"/>
          <w:lang w:val="en-US" w:eastAsia="ru-RU"/>
        </w:rPr>
      </w:pPr>
    </w:p>
    <w:p w:rsidR="00A52DEC" w:rsidRPr="00A52DEC" w:rsidRDefault="00A52DEC" w:rsidP="00A52DEC">
      <w:pPr>
        <w:spacing w:after="0" w:line="322" w:lineRule="atLeast"/>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Course Biopharmacy</w:t>
      </w:r>
    </w:p>
    <w:p w:rsidR="00A52DEC" w:rsidRPr="00A52DEC" w:rsidRDefault="00A52DEC" w:rsidP="00A52DEC">
      <w:pPr>
        <w:spacing w:after="0" w:line="322" w:lineRule="atLeast"/>
        <w:jc w:val="both"/>
        <w:rPr>
          <w:rFonts w:ascii="Calibri" w:hAnsi="Calibri" w:cs="Calibri"/>
          <w:color w:val="000000"/>
          <w:sz w:val="28"/>
          <w:szCs w:val="28"/>
          <w:lang w:val="en-US" w:eastAsia="ru-RU"/>
        </w:rPr>
      </w:pPr>
    </w:p>
    <w:p w:rsidR="00A52DEC" w:rsidRPr="0050002F" w:rsidRDefault="0050002F" w:rsidP="00A52DEC">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 xml:space="preserve">Practical lesson №9 Topic: </w:t>
      </w:r>
      <w:r w:rsidRPr="0050002F">
        <w:rPr>
          <w:rFonts w:ascii="Times New Roman" w:hAnsi="Times New Roman"/>
          <w:color w:val="000000"/>
          <w:sz w:val="28"/>
          <w:szCs w:val="28"/>
          <w:lang w:val="en-US" w:eastAsia="ru-RU"/>
        </w:rPr>
        <w:t>«</w:t>
      </w:r>
      <w:r w:rsidR="00A52DEC" w:rsidRPr="00A52DEC">
        <w:rPr>
          <w:rFonts w:ascii="Times New Roman" w:hAnsi="Times New Roman"/>
          <w:b/>
          <w:bCs/>
          <w:color w:val="000000"/>
          <w:sz w:val="28"/>
          <w:szCs w:val="28"/>
          <w:lang w:val="en-US" w:eastAsia="ru-RU"/>
        </w:rPr>
        <w:t>Bioavailability of drugs. Absolute, relative bioavailability. Classification of factors influencing</w:t>
      </w:r>
      <w:r>
        <w:rPr>
          <w:rFonts w:ascii="Times New Roman" w:hAnsi="Times New Roman"/>
          <w:b/>
          <w:bCs/>
          <w:color w:val="000000"/>
          <w:sz w:val="28"/>
          <w:szCs w:val="28"/>
          <w:lang w:val="en-US" w:eastAsia="ru-RU"/>
        </w:rPr>
        <w:t xml:space="preserve"> the bioavailability of drugs.</w:t>
      </w:r>
      <w:r w:rsidRPr="0050002F">
        <w:rPr>
          <w:rFonts w:ascii="Times New Roman" w:hAnsi="Times New Roman"/>
          <w:b/>
          <w:bCs/>
          <w:color w:val="000000"/>
          <w:sz w:val="28"/>
          <w:szCs w:val="28"/>
          <w:lang w:val="en-US" w:eastAsia="ru-RU"/>
        </w:rPr>
        <w:t>»</w:t>
      </w:r>
    </w:p>
    <w:p w:rsidR="00A52DEC" w:rsidRPr="00A52DEC" w:rsidRDefault="00A52DEC" w:rsidP="00A52DEC">
      <w:pPr>
        <w:spacing w:after="0" w:line="322" w:lineRule="atLeast"/>
        <w:jc w:val="both"/>
        <w:rPr>
          <w:rFonts w:ascii="Calibri" w:hAnsi="Calibri" w:cs="Calibri"/>
          <w:color w:val="000000"/>
          <w:sz w:val="28"/>
          <w:szCs w:val="28"/>
          <w:lang w:val="en-US" w:eastAsia="ru-RU"/>
        </w:rPr>
      </w:pPr>
    </w:p>
    <w:p w:rsidR="00A52DEC" w:rsidRPr="00A52DEC" w:rsidRDefault="00A52DEC" w:rsidP="00A52DEC">
      <w:pPr>
        <w:spacing w:after="0" w:line="322" w:lineRule="atLeast"/>
        <w:rPr>
          <w:rFonts w:ascii="Calibri" w:hAnsi="Calibri" w:cs="Calibri"/>
          <w:color w:val="000000"/>
          <w:sz w:val="28"/>
          <w:szCs w:val="28"/>
          <w:lang w:val="en-US" w:eastAsia="ru-RU"/>
        </w:rPr>
      </w:pPr>
    </w:p>
    <w:p w:rsidR="0050002F" w:rsidRPr="003160BA" w:rsidRDefault="0050002F" w:rsidP="0050002F">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50002F" w:rsidRPr="005A59BB" w:rsidRDefault="0050002F" w:rsidP="0050002F">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50002F" w:rsidRPr="005A59BB" w:rsidRDefault="00260864" w:rsidP="0050002F">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50002F">
        <w:rPr>
          <w:rFonts w:ascii="Times New Roman" w:hAnsi="Times New Roman"/>
          <w:color w:val="000000"/>
          <w:sz w:val="28"/>
          <w:szCs w:val="28"/>
          <w:lang w:val="en-US" w:eastAsia="ru-RU"/>
        </w:rPr>
        <w:t>(Fizor. N.S.</w:t>
      </w:r>
      <w:r w:rsidR="0050002F" w:rsidRPr="005A59BB">
        <w:rPr>
          <w:rFonts w:ascii="Times New Roman" w:hAnsi="Times New Roman"/>
          <w:color w:val="000000"/>
          <w:sz w:val="28"/>
          <w:szCs w:val="28"/>
          <w:lang w:val="en-US" w:eastAsia="ru-RU"/>
        </w:rPr>
        <w:t>)</w:t>
      </w:r>
    </w:p>
    <w:p w:rsidR="0050002F" w:rsidRPr="005A59BB" w:rsidRDefault="0050002F" w:rsidP="0050002F">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0002F" w:rsidRPr="003160BA" w:rsidRDefault="0050002F" w:rsidP="0050002F">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50002F" w:rsidRPr="005A59BB" w:rsidRDefault="00AD7031" w:rsidP="0050002F">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9</w:t>
      </w:r>
      <w:r w:rsidR="0050002F" w:rsidRPr="005A59BB">
        <w:rPr>
          <w:rFonts w:ascii="Times New Roman" w:hAnsi="Times New Roman"/>
          <w:color w:val="000000"/>
          <w:sz w:val="28"/>
          <w:szCs w:val="28"/>
          <w:lang w:val="en-US" w:eastAsia="ru-RU"/>
        </w:rPr>
        <w:t>»</w:t>
      </w:r>
      <w:r w:rsidR="0050002F">
        <w:rPr>
          <w:rFonts w:ascii="Times New Roman" w:hAnsi="Times New Roman"/>
          <w:color w:val="000000"/>
          <w:sz w:val="28"/>
          <w:szCs w:val="28"/>
          <w:lang w:val="en-US" w:eastAsia="ru-RU"/>
        </w:rPr>
        <w:t xml:space="preserve"> a</w:t>
      </w:r>
      <w:r w:rsidR="0050002F"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50002F">
        <w:rPr>
          <w:rFonts w:ascii="Times New Roman" w:hAnsi="Times New Roman"/>
          <w:color w:val="000000"/>
          <w:sz w:val="28"/>
          <w:szCs w:val="28"/>
          <w:lang w:val="en-US" w:eastAsia="ru-RU"/>
        </w:rPr>
        <w:t xml:space="preserve"> y.</w:t>
      </w:r>
    </w:p>
    <w:p w:rsidR="0050002F" w:rsidRPr="003160BA" w:rsidRDefault="0050002F" w:rsidP="0050002F">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A52DEC" w:rsidRPr="00A52DEC" w:rsidRDefault="00A52DEC" w:rsidP="00A52DEC">
      <w:pPr>
        <w:spacing w:after="0" w:line="322" w:lineRule="atLeast"/>
        <w:rPr>
          <w:rFonts w:ascii="Calibri" w:hAnsi="Calibri" w:cs="Calibri"/>
          <w:color w:val="000000"/>
          <w:sz w:val="28"/>
          <w:szCs w:val="28"/>
          <w:lang w:val="en-US" w:eastAsia="ru-RU"/>
        </w:rPr>
      </w:pPr>
    </w:p>
    <w:p w:rsidR="00A52DEC" w:rsidRPr="00A52DEC" w:rsidRDefault="00A52DEC" w:rsidP="00A52DEC">
      <w:pPr>
        <w:spacing w:after="0" w:line="240" w:lineRule="auto"/>
        <w:ind w:firstLine="5812"/>
        <w:jc w:val="both"/>
        <w:rPr>
          <w:rFonts w:ascii="Calibri" w:hAnsi="Calibri" w:cs="Calibri"/>
          <w:color w:val="000000"/>
          <w:sz w:val="28"/>
          <w:szCs w:val="28"/>
          <w:lang w:val="en-US" w:eastAsia="ru-RU"/>
        </w:rPr>
      </w:pPr>
    </w:p>
    <w:p w:rsidR="00A52DEC" w:rsidRPr="00A52DEC" w:rsidRDefault="00A52DEC" w:rsidP="00A52DEC">
      <w:pPr>
        <w:spacing w:after="0" w:line="240" w:lineRule="auto"/>
        <w:ind w:firstLine="5812"/>
        <w:jc w:val="both"/>
        <w:rPr>
          <w:rFonts w:ascii="Calibri" w:hAnsi="Calibri" w:cs="Calibri"/>
          <w:color w:val="000000"/>
          <w:sz w:val="28"/>
          <w:szCs w:val="28"/>
          <w:lang w:val="en-US" w:eastAsia="ru-RU"/>
        </w:rPr>
      </w:pPr>
    </w:p>
    <w:p w:rsidR="00A52DEC" w:rsidRPr="00A52DEC" w:rsidRDefault="00A52DEC" w:rsidP="00A52DEC">
      <w:pPr>
        <w:spacing w:after="0" w:line="240" w:lineRule="auto"/>
        <w:ind w:firstLine="5812"/>
        <w:jc w:val="both"/>
        <w:rPr>
          <w:rFonts w:ascii="Calibri" w:hAnsi="Calibri" w:cs="Calibri"/>
          <w:color w:val="000000"/>
          <w:sz w:val="28"/>
          <w:szCs w:val="28"/>
          <w:lang w:val="en-US" w:eastAsia="ru-RU"/>
        </w:rPr>
      </w:pPr>
    </w:p>
    <w:p w:rsidR="00A52DEC" w:rsidRPr="00A52DEC" w:rsidRDefault="00A52DEC" w:rsidP="00A52DEC">
      <w:pPr>
        <w:spacing w:after="0" w:line="240" w:lineRule="auto"/>
        <w:ind w:firstLine="5812"/>
        <w:jc w:val="both"/>
        <w:rPr>
          <w:rFonts w:ascii="Calibri" w:hAnsi="Calibri" w:cs="Calibri"/>
          <w:color w:val="000000"/>
          <w:sz w:val="28"/>
          <w:szCs w:val="28"/>
          <w:lang w:val="en-US" w:eastAsia="ru-RU"/>
        </w:rPr>
      </w:pPr>
    </w:p>
    <w:p w:rsidR="0050002F" w:rsidRPr="00260864" w:rsidRDefault="0050002F" w:rsidP="00A52DEC">
      <w:pPr>
        <w:spacing w:after="0" w:line="240" w:lineRule="auto"/>
        <w:jc w:val="both"/>
        <w:rPr>
          <w:rFonts w:ascii="Calibri" w:hAnsi="Calibri" w:cs="Calibri"/>
          <w:color w:val="000000"/>
          <w:sz w:val="28"/>
          <w:szCs w:val="28"/>
          <w:lang w:val="en-US" w:eastAsia="ru-RU"/>
        </w:rPr>
      </w:pPr>
    </w:p>
    <w:p w:rsidR="0050002F" w:rsidRDefault="0050002F" w:rsidP="00A52DEC">
      <w:pPr>
        <w:spacing w:after="0" w:line="240" w:lineRule="auto"/>
        <w:jc w:val="both"/>
        <w:rPr>
          <w:rFonts w:ascii="Calibri" w:hAnsi="Calibri" w:cs="Calibri"/>
          <w:color w:val="000000"/>
          <w:sz w:val="28"/>
          <w:szCs w:val="28"/>
          <w:lang w:val="en-US" w:eastAsia="ru-RU"/>
        </w:rPr>
      </w:pPr>
    </w:p>
    <w:p w:rsidR="00A52DEC" w:rsidRPr="00A52DEC" w:rsidRDefault="00A52DEC" w:rsidP="00A52DEC">
      <w:pPr>
        <w:spacing w:after="0" w:line="240" w:lineRule="auto"/>
        <w:jc w:val="both"/>
        <w:rPr>
          <w:rFonts w:ascii="Calibri" w:hAnsi="Calibri" w:cs="Calibri"/>
          <w:color w:val="000000"/>
          <w:sz w:val="28"/>
          <w:szCs w:val="28"/>
          <w:lang w:val="en-US" w:eastAsia="ru-RU"/>
        </w:rPr>
      </w:pPr>
    </w:p>
    <w:p w:rsidR="00A52DEC" w:rsidRPr="00A52DEC" w:rsidRDefault="00F85852" w:rsidP="0050002F">
      <w:pPr>
        <w:spacing w:after="0" w:line="240" w:lineRule="auto"/>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t>Ode</w:t>
      </w:r>
      <w:r w:rsidR="00AD7031">
        <w:rPr>
          <w:rFonts w:ascii="Times New Roman" w:hAnsi="Times New Roman"/>
          <w:color w:val="000000"/>
          <w:sz w:val="28"/>
          <w:szCs w:val="28"/>
          <w:lang w:val="en-US" w:eastAsia="ru-RU"/>
        </w:rPr>
        <w:t>sa – 202</w:t>
      </w:r>
      <w:r w:rsidR="00AD7031">
        <w:rPr>
          <w:rFonts w:ascii="Times New Roman" w:hAnsi="Times New Roman"/>
          <w:color w:val="000000"/>
          <w:sz w:val="28"/>
          <w:szCs w:val="28"/>
          <w:lang w:val="uk-UA" w:eastAsia="ru-RU"/>
        </w:rPr>
        <w:t>2</w:t>
      </w:r>
      <w:r w:rsidR="00A52DEC" w:rsidRPr="00A52DEC">
        <w:rPr>
          <w:rFonts w:ascii="Times New Roman" w:hAnsi="Times New Roman"/>
          <w:color w:val="000000"/>
          <w:sz w:val="28"/>
          <w:szCs w:val="28"/>
          <w:lang w:val="en-US" w:eastAsia="ru-RU"/>
        </w:rPr>
        <w:br w:type="page"/>
      </w:r>
    </w:p>
    <w:p w:rsidR="00A52DEC" w:rsidRPr="00A52DEC" w:rsidRDefault="00260864" w:rsidP="00A52DEC">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 </w:t>
      </w:r>
      <w:r w:rsidR="00A52DEC" w:rsidRPr="00A52DEC">
        <w:rPr>
          <w:rFonts w:ascii="Times New Roman" w:hAnsi="Times New Roman"/>
          <w:color w:val="000000"/>
          <w:sz w:val="28"/>
          <w:szCs w:val="28"/>
          <w:lang w:val="en-US" w:eastAsia="ru-RU"/>
        </w:rPr>
        <w:t>To acquire practical skills in calculating the main indicators of bioavailability of drugs and forecasting the bioavailability of drugs using the "Rules of the Five" Lipinski. Master the classification of factors influencing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Basic concepts: </w:t>
      </w:r>
      <w:r w:rsidRPr="00A52DEC">
        <w:rPr>
          <w:rFonts w:ascii="Times New Roman" w:hAnsi="Times New Roman"/>
          <w:color w:val="000000"/>
          <w:sz w:val="28"/>
          <w:szCs w:val="28"/>
          <w:lang w:val="en-US" w:eastAsia="ru-RU"/>
        </w:rPr>
        <w:t>bioavailability, absolute and relative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Equipment: </w:t>
      </w:r>
      <w:r w:rsidRPr="00A52DEC">
        <w:rPr>
          <w:rFonts w:ascii="Times New Roman" w:hAnsi="Times New Roman"/>
          <w:color w:val="000000"/>
          <w:sz w:val="28"/>
          <w:szCs w:val="28"/>
          <w:lang w:val="en-US" w:eastAsia="ru-RU"/>
        </w:rPr>
        <w:t>according to the requirements of Good Pharmacy Practice (GPP).</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Study time: </w:t>
      </w:r>
      <w:r w:rsidR="00BD5863">
        <w:rPr>
          <w:rFonts w:ascii="Times New Roman" w:hAnsi="Times New Roman"/>
          <w:b/>
          <w:bCs/>
          <w:color w:val="000000"/>
          <w:sz w:val="28"/>
          <w:szCs w:val="28"/>
          <w:lang w:val="uk-UA" w:eastAsia="ru-RU"/>
        </w:rPr>
        <w:t>2</w:t>
      </w:r>
      <w:bookmarkStart w:id="0" w:name="_GoBack"/>
      <w:bookmarkEnd w:id="0"/>
      <w:r w:rsidRPr="00A52DEC">
        <w:rPr>
          <w:rFonts w:ascii="Times New Roman" w:hAnsi="Times New Roman"/>
          <w:b/>
          <w:bCs/>
          <w:color w:val="000000"/>
          <w:sz w:val="28"/>
          <w:szCs w:val="28"/>
          <w:lang w:val="en-US" w:eastAsia="ru-RU"/>
        </w:rPr>
        <w:t>.0</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Plan</w:t>
      </w:r>
    </w:p>
    <w:p w:rsidR="00A52DEC" w:rsidRPr="00A52DEC" w:rsidRDefault="00A52DEC" w:rsidP="00A52DEC">
      <w:pPr>
        <w:spacing w:after="0" w:line="240" w:lineRule="auto"/>
        <w:jc w:val="both"/>
        <w:rPr>
          <w:rFonts w:ascii="Calibri" w:hAnsi="Calibri" w:cs="Calibri"/>
          <w:color w:val="000000"/>
          <w:sz w:val="28"/>
          <w:szCs w:val="28"/>
          <w:lang w:val="en-US" w:eastAsia="ru-RU"/>
        </w:rPr>
      </w:pP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I. Organizational moment.</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ІІ. Control of basic knowledge</w:t>
      </w:r>
    </w:p>
    <w:p w:rsidR="00A52DEC" w:rsidRPr="00A52DEC" w:rsidRDefault="00A52DEC" w:rsidP="00A52DEC">
      <w:pPr>
        <w:spacing w:after="0" w:line="240" w:lineRule="auto"/>
        <w:ind w:left="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Requirements for theoretical knowledge: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Bioavailability (F) is a pharmacokinetic parameter that characterizes the efficacy of drugs by determining the proportion of drug that enters the systemic circulation relative to the initial dose of the drug. Bioavailability is the main indicator that characterizes the amount of drug loss during transportation to the site of action in the human body (the ability of the drug to be absorbed). That is, the higher the bioavailability of the drug, the less loss will be during the assimilation and use of the body. When administered intravascularly, the bioavailability of the drug is 100%, with other routes of administration, it is much lower and almost never reaches 100%. For example, insulin is broken down by gastric enzymes, ie it has low bioavailability when taken orally, so it is used only subcutaneously or intramuscularly.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Absolute bioavailability </w:t>
      </w:r>
      <w:r w:rsidRPr="00A52DEC">
        <w:rPr>
          <w:rFonts w:ascii="Times New Roman" w:hAnsi="Times New Roman"/>
          <w:color w:val="000000"/>
          <w:sz w:val="28"/>
          <w:szCs w:val="28"/>
          <w:lang w:val="en-US" w:eastAsia="ru-RU"/>
        </w:rPr>
        <w:t>is determined by comparing the degree and rate of entry of the substance of the study drug into the systemic circulation (subject to extrasystemic administration: orally, rectally, subcutaneously) with the standard after its intravascular administration. Bioavailability as a research method gained general recognition in the second half of the twentieth century, after the discovery of the phenomenon of therapeutic non-equivalence of drugs with the same composition, in identical dosage forms, but manufactured in different factories. Today, bioavailability is of national importance in the development, production and use of drugs and as a method underlies the parameters for determining the bioequivalence of essentially similar drugs.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The relative bioavailability </w:t>
      </w:r>
      <w:r w:rsidRPr="00A52DEC">
        <w:rPr>
          <w:rFonts w:ascii="Times New Roman" w:hAnsi="Times New Roman"/>
          <w:color w:val="000000"/>
          <w:sz w:val="28"/>
          <w:szCs w:val="28"/>
          <w:lang w:val="en-US" w:eastAsia="ru-RU"/>
        </w:rPr>
        <w:t>is determined by comparing the degree and rate of absorption of the drug (eg tablets) with the so-called comparison standard (eg capsules) with the same or different routes of administration (eg tablets and suppositories) provided that they contain the same active substance in equal quantities. The definition of "relative bioavailability" is widely used to confirm the equivalence of the therapeutic effect of essentially similar drugs to the reference and to compare the therapeutic efficacy of the studied drugs.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xml:space="preserve">The intensity and duration of pharmacological action of drugs depend on their pharmacokinetic characteristics (absorption, distribution, biotransformation, </w:t>
      </w:r>
      <w:r w:rsidRPr="00A52DEC">
        <w:rPr>
          <w:rFonts w:ascii="Times New Roman" w:hAnsi="Times New Roman"/>
          <w:color w:val="000000"/>
          <w:sz w:val="28"/>
          <w:szCs w:val="28"/>
          <w:lang w:val="en-US" w:eastAsia="ru-RU"/>
        </w:rPr>
        <w:lastRenderedPageBreak/>
        <w:t xml:space="preserve">mechanism of excretion), which, in turn, are closely related to the concept of bioavailability. The complexity of qualitative and quantitative assessment of the bioavailability of drugs is associated with a large number of factors that affect these characteristics. They are divided into exogenous (pharmaceutical or technological) and endogenous (physiological, genetic, etc.). By </w:t>
      </w:r>
      <w:r w:rsidRPr="00A52DEC">
        <w:rPr>
          <w:rFonts w:ascii="Times New Roman" w:hAnsi="Times New Roman"/>
          <w:b/>
          <w:bCs/>
          <w:color w:val="000000"/>
          <w:sz w:val="28"/>
          <w:szCs w:val="28"/>
          <w:lang w:val="en-US" w:eastAsia="ru-RU"/>
        </w:rPr>
        <w:t xml:space="preserve">exogenous factors </w:t>
      </w:r>
      <w:r w:rsidRPr="00A52DEC">
        <w:rPr>
          <w:rFonts w:ascii="Times New Roman" w:hAnsi="Times New Roman"/>
          <w:color w:val="000000"/>
          <w:sz w:val="28"/>
          <w:szCs w:val="28"/>
          <w:lang w:val="en-US" w:eastAsia="ru-RU"/>
        </w:rPr>
        <w:t xml:space="preserve">affecting bioavailability include: physical properties of substances (solubility, hydrophobicity, polymorphism, optical and other properties), the nature and amount of excipients that make up the drug, type of dosage form manufacturing technology and others (dose, way, speed of drug administration, use of other drugs, non-compliance with recommendations on medical nutrition, etc.), which should be taken into account at the stages of development, production and use of drugs. The bioavailability of drugs is also influenced by </w:t>
      </w:r>
      <w:r w:rsidRPr="00A52DEC">
        <w:rPr>
          <w:rFonts w:ascii="Times New Roman" w:hAnsi="Times New Roman"/>
          <w:b/>
          <w:bCs/>
          <w:color w:val="000000"/>
          <w:sz w:val="28"/>
          <w:szCs w:val="28"/>
          <w:lang w:val="en-US" w:eastAsia="ru-RU"/>
        </w:rPr>
        <w:t xml:space="preserve">endogenous </w:t>
      </w:r>
      <w:r w:rsidRPr="00A52DEC">
        <w:rPr>
          <w:rFonts w:ascii="Times New Roman" w:hAnsi="Times New Roman"/>
          <w:color w:val="000000"/>
          <w:sz w:val="28"/>
          <w:szCs w:val="28"/>
          <w:lang w:val="en-US" w:eastAsia="ru-RU"/>
        </w:rPr>
        <w:t>physiological (sex, age, weight), genetic and ethical parameters of the patient, the presence of comorbidities and more. Taking into account the factors influencing the bioavailability of drugs allows to optimize the mode of their production, administration and increase the effectiveness of pharmacotherapy in general. Bioavailability studies on living organisms are time consuming, expensive and may not always be applicable under normal production conditions.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xml:space="preserve">There are different guidelines for </w:t>
      </w:r>
      <w:r w:rsidRPr="00A52DEC">
        <w:rPr>
          <w:rFonts w:ascii="Times New Roman" w:hAnsi="Times New Roman"/>
          <w:b/>
          <w:bCs/>
          <w:color w:val="000000"/>
          <w:sz w:val="28"/>
          <w:szCs w:val="28"/>
          <w:lang w:val="en-US" w:eastAsia="ru-RU"/>
        </w:rPr>
        <w:t xml:space="preserve">prediction of bioavailability </w:t>
      </w:r>
      <w:r w:rsidRPr="00A52DEC">
        <w:rPr>
          <w:rFonts w:ascii="Times New Roman" w:hAnsi="Times New Roman"/>
          <w:color w:val="000000"/>
          <w:sz w:val="28"/>
          <w:szCs w:val="28"/>
          <w:lang w:val="en-US" w:eastAsia="ru-RU"/>
        </w:rPr>
        <w:t xml:space="preserve">, the most famous of which is the " </w:t>
      </w:r>
      <w:r w:rsidRPr="00A52DEC">
        <w:rPr>
          <w:rFonts w:ascii="Times New Roman" w:hAnsi="Times New Roman"/>
          <w:b/>
          <w:bCs/>
          <w:color w:val="000000"/>
          <w:sz w:val="28"/>
          <w:szCs w:val="28"/>
          <w:lang w:val="en-US" w:eastAsia="ru-RU"/>
        </w:rPr>
        <w:t xml:space="preserve">rule of five" Lipinski </w:t>
      </w:r>
      <w:r w:rsidRPr="00A52DEC">
        <w:rPr>
          <w:rFonts w:ascii="Times New Roman" w:hAnsi="Times New Roman"/>
          <w:color w:val="000000"/>
          <w:sz w:val="28"/>
          <w:szCs w:val="28"/>
          <w:lang w:val="en-US" w:eastAsia="ru-RU"/>
        </w:rPr>
        <w:t>(Eng. Lipinski rule of five). This rule was formulated by Christopher A. Lipinski in 1997 based on the observation that most drugs are relatively small and lipophilic molecules. To predict the pathways of biochemical transformation of drugs, it is necessary to take into account lipophilicity, size and surface of the corresponding molecule, the presence of groups that can be attacked by enzymes and its optical properties.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The term "drug-like properties" has recently become commonplace for pharmacy and usually reflects the simple physicochemical and structural properties (molecular descriptors) characteristic of successful drugs.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The rules of five </w:t>
      </w:r>
      <w:r w:rsidRPr="00A52DEC">
        <w:rPr>
          <w:rFonts w:ascii="Times New Roman" w:hAnsi="Times New Roman"/>
          <w:color w:val="000000"/>
          <w:sz w:val="28"/>
          <w:szCs w:val="28"/>
          <w:lang w:val="en-US" w:eastAsia="ru-RU"/>
        </w:rPr>
        <w:t>(“drug likeness” or the concept of similarity to a drug substance) are as follows: 1) LogP ≤5;</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2) molecular weight ≤500;</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3) the ability to be a proton acceptor ≤10;</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4) the ability to be a proton donor ≤5;</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5) rotation of connections ≤8.</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xml:space="preserve">Parameters 3 and 4 indicate the ability of the compound to form bonds in the "appropriate" region of the biomolecule, parameter 5 characterizes the "stiffness" of the structure and indicates the volume of the substance. Thus, these criteria characterize the general features of the chemical structure of the drug, taking into account sorption, distribution in the body, metabolism, elimination. However, it should be noted that these rules were developed on the basis of oral drugs, respectively, candidates for drugs for other routes of administration require different criteria for assessing the similarity. Therefore, other rules of medicinality are known. </w:t>
      </w:r>
      <w:r w:rsidRPr="00A52DEC">
        <w:rPr>
          <w:rFonts w:ascii="Times New Roman" w:hAnsi="Times New Roman"/>
          <w:color w:val="000000"/>
          <w:sz w:val="28"/>
          <w:szCs w:val="28"/>
          <w:lang w:val="en-US" w:eastAsia="ru-RU"/>
        </w:rPr>
        <w:lastRenderedPageBreak/>
        <w:t>For example, Weber et al. found that most compounds with high oral bioavailability had less than 10 rotatable bonds and a polar surface area (PSA) of less than 140 Å.</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Literature data indicate that compounds with a partition value of less than 3 and a PSA greater than 75 Å are 6 times less likely to cause adverse reactions in in vivo tolerance studies than compounds that did not meet these criteria. It is also proved that there is a relationship between the so-called. The "plane" of the molecule, which depends on the number of sp3 hybridized carbon atoms, and the probability of its entry into the leading compounds in the search for new drugs.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Factors influencing the bioavailability of drugs include physicochemical and pharmaceutical factors.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Didactic units:</w:t>
      </w:r>
    </w:p>
    <w:p w:rsidR="00A52DEC" w:rsidRPr="00A52DEC" w:rsidRDefault="00A52DEC" w:rsidP="00A52DEC">
      <w:pPr>
        <w:spacing w:after="0" w:line="240" w:lineRule="auto"/>
        <w:ind w:left="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 xml:space="preserve">- </w:t>
      </w:r>
      <w:r w:rsidRPr="00A52DEC">
        <w:rPr>
          <w:rFonts w:ascii="Times New Roman" w:hAnsi="Times New Roman"/>
          <w:color w:val="000000"/>
          <w:sz w:val="28"/>
          <w:szCs w:val="28"/>
          <w:lang w:val="en-US" w:eastAsia="ru-RU"/>
        </w:rPr>
        <w:t>Bioavailability (F)</w:t>
      </w:r>
    </w:p>
    <w:p w:rsidR="00A52DEC" w:rsidRPr="00A52DEC" w:rsidRDefault="00A52DEC" w:rsidP="00A52DEC">
      <w:pPr>
        <w:spacing w:after="0" w:line="240" w:lineRule="auto"/>
        <w:ind w:left="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Relative bioavailability</w:t>
      </w:r>
    </w:p>
    <w:p w:rsidR="00A52DEC" w:rsidRPr="00A52DEC" w:rsidRDefault="00A52DEC" w:rsidP="00A52DEC">
      <w:pPr>
        <w:spacing w:after="0" w:line="240" w:lineRule="auto"/>
        <w:ind w:left="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Rules five</w:t>
      </w:r>
    </w:p>
    <w:p w:rsidR="00A52DEC" w:rsidRPr="00A52DEC" w:rsidRDefault="00A52DEC" w:rsidP="00A52DEC">
      <w:pPr>
        <w:spacing w:after="0" w:line="240" w:lineRule="auto"/>
        <w:ind w:left="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2.2. Questions (tests, tasks, clinical situations) to test basic knowledge on the topic of the lesson: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i/>
          <w:iCs/>
          <w:color w:val="000000"/>
          <w:sz w:val="28"/>
          <w:szCs w:val="28"/>
          <w:lang w:val="en-US" w:eastAsia="ru-RU"/>
        </w:rPr>
        <w:t>Answer the question:</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1. Bioavailability of drugs.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2. The main indicators of bioavailability of drugs. Maximum (peak) concentration of the drug in the blood;</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xml:space="preserve"> - Time to reach maximum concentration;</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 The area under the curve of change in the concentration of the drug in plasma or serum over time.</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3. Absolute bioavailability. Relative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4. Calculation of the degree of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5. Classification of factors influencing the bioavailability of drugs.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6. Methods for determining the degree of bioavailability. Advantages and disadvantages.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7. Optimal, high and low degree of bioavailability. Characteristics of parameters.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i/>
          <w:iCs/>
          <w:color w:val="000000"/>
          <w:sz w:val="28"/>
          <w:szCs w:val="28"/>
          <w:lang w:val="en-US" w:eastAsia="ru-RU"/>
        </w:rPr>
        <w:t>Solve tests:</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1. Indicate which term corresponds to the following statement: "Expressed as a percentage of the amount of drug released from the dosage form, which after its introduction reaches the receptor in an amount sufficient to cause a biological effect."</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therapeutic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equivalence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pharmaceutical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relative bioavailability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absolute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2. Indicate which term corresponds to the following statement: "The amount of drug administered intravenously in a dosage form that enters the bloodstream without the effect of the effect of the first passage through the liver"</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therapeutic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equivalence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lastRenderedPageBreak/>
        <w:t>C. pharmaceutical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relative bioavailability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absolute bioavailability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3. Indicate which term corresponds to the following statement: "Inequality of therapeutic action of the same drugs in the same doses, prepared by different manufacturers or the same plant, but different series."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therapeutic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equivalence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pharmaceutical inequality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bioavailability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pharmaceutical equivalent</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4. Indicate which term corresponds to the following statement: “Description of changes in time of concentrations of the administered drug and its metabolites in the body; covers such transport processes of the active substance and its metabolites in the body as absorption, distribution, biotransformation and elimination ”.</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bioavailability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equivalence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system availability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pharmacokinetics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absorption</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5. Exogenous factors affecting bioavailability include: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seasons of the year;</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temperature;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pharmaceutical factors;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clinical;</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pathophysiological</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6. Endogenous factors affecting bioavailability include: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body weight;</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simple chemical modification;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pharmaceutical factors;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the physical state of the substance;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polymorphism</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7. Until when did not pay attention to the method of manufacture of drugs as a factor influencing the effectiveness of drugs?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to the 60s of the twentieth century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until the 60s of the XVIII century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to the 60s of the seventeenth century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to the 60s of the XIX century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to the 60s of the sixteenth century</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8. The pharmacist prepares a powder with a substance that is difficult to grind. Indicate which substance is ground in the presence of an auxiliary liquid?</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Magnesium oxide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Salicylic acid</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lastRenderedPageBreak/>
        <w:t>C. Zinc sulfate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Copper sulfate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Glucose</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9. The pharmacist prepares a powder with a substance that is difficult to grind. Indicate which substance is ground in the presence of the auxiliary liquid</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Magnesium oxide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Zinc sulfate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Copper sulfate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Thymol</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Glucose</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10. Possible causes of therapeutic non-equivalence of the same dose and dosage form of drugs, bordered by different plants: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technology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dosage of the drug</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sex and age of the patient</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routes of administration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dosage form</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III. Formation of professional skills, abilities: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3.1.content of tasks: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Task № 3</w:t>
      </w:r>
    </w:p>
    <w:p w:rsidR="00A52DEC" w:rsidRPr="00A52DEC" w:rsidRDefault="00A52DEC" w:rsidP="00A52DEC">
      <w:pPr>
        <w:spacing w:line="322" w:lineRule="atLeast"/>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To establish the influence of the nature of the ointment base on the rate of absorption of medicinal substances from ointments into the blood of animals by the "in vivo" method.</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3.2.</w:t>
      </w:r>
      <w:r w:rsidRPr="00A52DEC">
        <w:rPr>
          <w:rFonts w:ascii="Times New Roman" w:hAnsi="Times New Roman"/>
          <w:b/>
          <w:bCs/>
          <w:color w:val="000000"/>
          <w:sz w:val="28"/>
          <w:szCs w:val="28"/>
          <w:lang w:val="en-US" w:eastAsia="ru-RU"/>
        </w:rPr>
        <w:t>recommendations (instructions) for performing tasks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Task № 3</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Methodical recommendations for the task</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The influence of excipients (nature of the ointment base) on the process of release and absorption kinetics of drugs can also be established in model experiments on animals. To determine the excipients for the absorption of streptocide can be used different types of dosage forms: ointments, suppositories, tablets, etc. The choice as the object of study of sulfonamide drug in this case is due to the simplicity of its determination in the blood of experimental animals. According to the principle of the described method, you can also use dosage forms containing other drugs. The number of animals and study factors may also vary. To simplify the experiment (for educational purposes only), you can limit yourself to one animal for each sample of the drug.</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b/>
          <w:bCs/>
          <w:i/>
          <w:iCs/>
          <w:color w:val="000000"/>
          <w:sz w:val="28"/>
          <w:szCs w:val="28"/>
          <w:lang w:val="en-US" w:eastAsia="ru-RU"/>
        </w:rPr>
        <w:t xml:space="preserve">The object of the study </w:t>
      </w:r>
      <w:r w:rsidRPr="00A52DEC">
        <w:rPr>
          <w:rFonts w:ascii="Times" w:hAnsi="Times" w:cs="Times"/>
          <w:color w:val="000000"/>
          <w:sz w:val="28"/>
          <w:szCs w:val="28"/>
          <w:lang w:val="en-US" w:eastAsia="ru-RU"/>
        </w:rPr>
        <w:t>are 10% streptocidal ointments prepared using different bases.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Before completing the task, get acquainted with the algorithm of experimental work for task № 3 (Appendix 3).</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lastRenderedPageBreak/>
        <w:t>The experiment is performed on two rabbits of the chinchilla breed of approximately the same weight and age. Animals are pre-weighed and the data recorded in a diary.</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The animal on the freed from the fur area of ​​skin measuring 5 × 5 cm in the back of the back is applied ointment at the rate of 0.5 g / kg. The ointment is rubbed with a glass shelf or plastic spatula. Blood sampling is performed after applying the ointment in 0.5; 1; 1.5 years.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Quantitative determination of sulfonamides in the blood is carried out by photocolorimetric method VN Prebsting, VI Gavrilov (1939) in the modification of IM Перцева, Д.П. Salo and VF Desenko (1975).</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The method is based on obtaining a colored compound by combining diazotized sulfonamide with resorcinol.</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Construction of the calibration schedule</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0.03 g (exact portion) of streptocide is quantitatively transferred to a dry volumetric flask of 200 ml, dissolved in frequent purified water and adjusted to the mark. 1 ml of solution A contains 150 μg of streptocide. From the initial solution A prepare a working solution B. To do this, 10 ml of solution A is made in a volumetric flask per 100 ml and add water </w:t>
      </w:r>
    </w:p>
    <w:p w:rsidR="00A52DEC" w:rsidRPr="00A52DEC" w:rsidRDefault="00A52DEC" w:rsidP="00A52DEC">
      <w:pPr>
        <w:spacing w:after="0" w:line="240" w:lineRule="auto"/>
        <w:ind w:firstLine="567"/>
        <w:jc w:val="right"/>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Annex 3</w:t>
      </w:r>
    </w:p>
    <w:p w:rsidR="00B10AA3" w:rsidRPr="0050002F" w:rsidRDefault="00B10AA3" w:rsidP="00B10AA3">
      <w:pPr>
        <w:spacing w:after="0" w:line="240" w:lineRule="auto"/>
        <w:jc w:val="center"/>
        <w:rPr>
          <w:rFonts w:ascii="Times New Roman" w:hAnsi="Times New Roman"/>
          <w:b/>
          <w:noProof/>
          <w:sz w:val="28"/>
          <w:szCs w:val="28"/>
          <w:lang w:val="en-US"/>
        </w:rPr>
      </w:pPr>
      <w:r w:rsidRPr="0050002F">
        <w:rPr>
          <w:rFonts w:ascii="Times New Roman" w:hAnsi="Times New Roman"/>
          <w:b/>
          <w:noProof/>
          <w:sz w:val="28"/>
          <w:szCs w:val="28"/>
          <w:lang w:val="en-US"/>
        </w:rPr>
        <w:t>ALGORITHM OF EXPERIMENTAL WORK ON DETERMINATION OF THE INFLUENCE OF NATURE OF OINTMENT BASES ON THE SPEED OF SUCTION OF STREPTOCIDES FROM OINTMENTS IN ANIMAL BLOOD</w:t>
      </w:r>
    </w:p>
    <w:p w:rsidR="00B10AA3" w:rsidRPr="0050002F" w:rsidRDefault="00AA18D9" w:rsidP="00B10AA3">
      <w:pPr>
        <w:spacing w:after="0" w:line="240" w:lineRule="auto"/>
        <w:jc w:val="center"/>
        <w:rPr>
          <w:rFonts w:ascii="Times New Roman" w:hAnsi="Times New Roman"/>
          <w:b/>
          <w:noProof/>
          <w:sz w:val="28"/>
          <w:szCs w:val="28"/>
          <w:lang w:val="en-US"/>
        </w:rPr>
      </w:pPr>
      <w:r w:rsidRPr="00AA18D9">
        <w:rPr>
          <w:noProof/>
          <w:lang w:val="uk-UA" w:eastAsia="uk-UA"/>
        </w:rPr>
        <w:pict>
          <v:group id="Группа 65" o:spid="_x0000_s1026" style="position:absolute;left:0;text-align:left;margin-left:6.9pt;margin-top:8.2pt;width:453.45pt;height:429.35pt;z-index:251658240" coordsize="60731,48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">
            <v:shapetype id="_x0000_t202" coordsize="21600,21600" o:spt="202" path="m,l,21600r21600,l21600,xe">
              <v:stroke joinstyle="miter"/>
              <v:path gradientshapeok="t" o:connecttype="rect"/>
            </v:shapetype>
            <v:shape id="Надпись 42" o:spid="_x0000_s1027" type="#_x0000_t202" style="position:absolute;left:13868;top:15697;width:35814;height:37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" strokeweight=".5pt">
              <v:textbox>
                <w:txbxContent>
                  <w:p w:rsidR="00B10AA3" w:rsidRPr="00463B39" w:rsidRDefault="00B10AA3" w:rsidP="00B10AA3">
                    <w:pPr>
                      <w:jc w:val="center"/>
                      <w:rPr>
                        <w:sz w:val="24"/>
                        <w:szCs w:val="24"/>
                        <w:lang w:val="uk-UA"/>
                      </w:rPr>
                    </w:pPr>
                    <w:r w:rsidRPr="00B31BC4">
                      <w:rPr>
                        <w:rFonts w:ascii="Times" w:hAnsi="Times" w:cs="Times"/>
                        <w:color w:val="000000"/>
                        <w:sz w:val="24"/>
                        <w:szCs w:val="24"/>
                        <w:lang w:val="uk-UA"/>
                      </w:rPr>
                      <w:t>Applying ointments on the skin of animals</w:t>
                    </w:r>
                  </w:p>
                </w:txbxContent>
              </v:textbox>
            </v:shape>
            <v:shape id="Надпись 44" o:spid="_x0000_s1028" type="#_x0000_t202" style="position:absolute;left:9677;top:20955;width:45415;height:46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" strokeweight=".5pt">
              <v:textbox>
                <w:txbxContent>
                  <w:p w:rsidR="00B10AA3" w:rsidRPr="00B31BC4" w:rsidRDefault="00B10AA3" w:rsidP="00B10AA3">
                    <w:pPr>
                      <w:spacing w:after="0" w:line="240" w:lineRule="auto"/>
                      <w:jc w:val="center"/>
                      <w:rPr>
                        <w:rFonts w:ascii="Times" w:hAnsi="Times" w:cs="Times"/>
                        <w:color w:val="000000"/>
                        <w:sz w:val="24"/>
                        <w:szCs w:val="24"/>
                        <w:lang w:val="uk-UA"/>
                      </w:rPr>
                    </w:pPr>
                    <w:r w:rsidRPr="00B31BC4">
                      <w:rPr>
                        <w:rFonts w:ascii="Times" w:hAnsi="Times" w:cs="Times"/>
                        <w:color w:val="000000"/>
                        <w:sz w:val="24"/>
                        <w:szCs w:val="24"/>
                        <w:lang w:val="uk-UA"/>
                      </w:rPr>
                      <w:t>Filling of receptor cells of dialyzers with isotonic</w:t>
                    </w:r>
                  </w:p>
                  <w:p w:rsidR="00B10AA3" w:rsidRPr="00483D16" w:rsidRDefault="00B10AA3" w:rsidP="00B10AA3">
                    <w:pPr>
                      <w:spacing w:after="0" w:line="240" w:lineRule="auto"/>
                      <w:jc w:val="center"/>
                      <w:rPr>
                        <w:sz w:val="24"/>
                        <w:szCs w:val="24"/>
                        <w:lang w:val="uk-UA"/>
                      </w:rPr>
                    </w:pPr>
                    <w:r w:rsidRPr="00B31BC4">
                      <w:rPr>
                        <w:rFonts w:ascii="Times" w:hAnsi="Times" w:cs="Times"/>
                        <w:color w:val="000000"/>
                        <w:sz w:val="24"/>
                        <w:szCs w:val="24"/>
                        <w:lang w:val="uk-UA"/>
                      </w:rPr>
                      <w:t>sodium chloride solution</w:t>
                    </w:r>
                  </w:p>
                </w:txbxContent>
              </v:textbox>
            </v:shape>
            <v:shape id="Надпись 45" o:spid="_x0000_s1029" type="#_x0000_t202" style="position:absolute;left:8991;top:27127;width:46025;height:58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" strokeweight=".5pt">
              <v:textbox>
                <w:txbxContent>
                  <w:p w:rsidR="00B10AA3" w:rsidRPr="00463B39" w:rsidRDefault="00B10AA3" w:rsidP="00B10AA3">
                    <w:pPr>
                      <w:spacing w:after="0" w:line="240" w:lineRule="auto"/>
                      <w:jc w:val="center"/>
                      <w:rPr>
                        <w:sz w:val="24"/>
                        <w:szCs w:val="24"/>
                        <w:lang w:val="uk-UA"/>
                      </w:rPr>
                    </w:pPr>
                    <w:r w:rsidRPr="00B31BC4">
                      <w:rPr>
                        <w:rFonts w:ascii="Times" w:hAnsi="Times" w:cs="Times"/>
                        <w:color w:val="000000"/>
                        <w:sz w:val="24"/>
                        <w:szCs w:val="24"/>
                        <w:lang w:val="uk-UA"/>
                      </w:rPr>
                      <w:t>Blood sampling from the ear vein of rabbits in 0.5; 1; 1.5 hours from the start of the experiment</w:t>
                    </w:r>
                  </w:p>
                </w:txbxContent>
              </v:textbox>
            </v:shape>
            <v:shape id="Надпись 48" o:spid="_x0000_s1030" type="#_x0000_t202" style="position:absolute;left:10820;top:34518;width:41986;height:37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" strokeweight=".5pt">
              <v:textbox>
                <w:txbxContent>
                  <w:p w:rsidR="00B10AA3" w:rsidRPr="00463B39" w:rsidRDefault="00B10AA3" w:rsidP="00B10AA3">
                    <w:pPr>
                      <w:spacing w:after="0" w:line="240" w:lineRule="auto"/>
                      <w:jc w:val="center"/>
                      <w:rPr>
                        <w:sz w:val="24"/>
                        <w:szCs w:val="24"/>
                        <w:lang w:val="uk-UA"/>
                      </w:rPr>
                    </w:pPr>
                    <w:r w:rsidRPr="00B31BC4">
                      <w:rPr>
                        <w:rFonts w:ascii="Times" w:hAnsi="Times" w:cs="Times"/>
                        <w:color w:val="000000"/>
                        <w:sz w:val="24"/>
                        <w:szCs w:val="24"/>
                        <w:lang w:val="uk-UA"/>
                      </w:rPr>
                      <w:t>Determination of the concentration of streptocide in the blood of animals</w:t>
                    </w:r>
                  </w:p>
                </w:txbxContent>
              </v:textbox>
            </v:shape>
            <v:shape id="Надпись 50" o:spid="_x0000_s1031" type="#_x0000_t202" style="position:absolute;left:13335;top:39700;width:36499;height:46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" strokeweight=".5pt">
              <v:textbox>
                <w:txbxContent>
                  <w:p w:rsidR="00B10AA3" w:rsidRPr="00463B39" w:rsidRDefault="00B10AA3" w:rsidP="00B10AA3">
                    <w:pPr>
                      <w:spacing w:after="0" w:line="240" w:lineRule="auto"/>
                      <w:jc w:val="center"/>
                      <w:rPr>
                        <w:sz w:val="24"/>
                        <w:szCs w:val="24"/>
                        <w:lang w:val="uk-UA"/>
                      </w:rPr>
                    </w:pPr>
                    <w:r w:rsidRPr="00B31BC4">
                      <w:rPr>
                        <w:rFonts w:ascii="Times" w:hAnsi="Times" w:cs="Times"/>
                        <w:color w:val="000000"/>
                        <w:sz w:val="24"/>
                        <w:szCs w:val="24"/>
                        <w:lang w:val="uk-UA"/>
                      </w:rPr>
                      <w:t>Construction of curves of kinetics of absorption of streptocide into blood from ointments</w:t>
                    </w:r>
                  </w:p>
                </w:txbxContent>
              </v:textbox>
            </v:shape>
            <v:shape id="Надпись 52" o:spid="_x0000_s1032" type="#_x0000_t202" style="position:absolute;left:13563;top:45872;width:36500;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" strokeweight=".5pt">
              <v:textbox>
                <w:txbxContent>
                  <w:p w:rsidR="00B10AA3" w:rsidRPr="00483D16" w:rsidRDefault="00B10AA3" w:rsidP="00B10AA3">
                    <w:pPr>
                      <w:jc w:val="center"/>
                      <w:rPr>
                        <w:lang w:val="uk-UA"/>
                      </w:rPr>
                    </w:pPr>
                    <w:r w:rsidRPr="00B31BC4">
                      <w:rPr>
                        <w:rFonts w:ascii="Times" w:hAnsi="Times" w:cs="Times"/>
                        <w:color w:val="000000"/>
                        <w:sz w:val="24"/>
                        <w:szCs w:val="24"/>
                        <w:lang w:val="uk-UA"/>
                      </w:rPr>
                      <w:t>Conclusions</w:t>
                    </w:r>
                  </w:p>
                </w:txbxContent>
              </v:textbox>
            </v:shape>
            <v:group id="Группа 63" o:spid="_x0000_s1033" style="position:absolute;width:60731;height:45872" coordsize="60731,4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Надпись 40" o:spid="_x0000_s1034" type="#_x0000_t202" style="position:absolute;left:2667;width:18973;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" strokeweight=".5pt">
                <v:textbox>
                  <w:txbxContent>
                    <w:p w:rsidR="00B10AA3" w:rsidRPr="00483D16" w:rsidRDefault="00B10AA3" w:rsidP="00B10AA3">
                      <w:pPr>
                        <w:rPr>
                          <w:sz w:val="24"/>
                          <w:szCs w:val="24"/>
                          <w:lang w:val="uk-UA"/>
                        </w:rPr>
                      </w:pPr>
                      <w:r w:rsidRPr="00B31BC4">
                        <w:rPr>
                          <w:rFonts w:ascii="Times" w:hAnsi="Times" w:cs="Times"/>
                          <w:color w:val="000000"/>
                          <w:sz w:val="24"/>
                          <w:szCs w:val="24"/>
                          <w:lang w:val="uk-UA"/>
                        </w:rPr>
                        <w:t>Animals - 2 heads</w:t>
                      </w:r>
                    </w:p>
                  </w:txbxContent>
                </v:textbox>
              </v:shape>
              <v:shape id="Надпись 37" o:spid="_x0000_s1035" type="#_x0000_t202" style="position:absolute;left:38328;top:6553;width:22403;height:41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" strokeweight=".5pt">
                <v:textbox>
                  <w:txbxContent>
                    <w:p w:rsidR="00B10AA3" w:rsidRDefault="00B10AA3" w:rsidP="00B10AA3">
                      <w:pPr>
                        <w:spacing w:after="0" w:line="240" w:lineRule="auto"/>
                      </w:pPr>
                      <w:r w:rsidRPr="00B31BC4">
                        <w:rPr>
                          <w:rFonts w:ascii="Times" w:hAnsi="Times" w:cs="Times"/>
                          <w:color w:val="000000"/>
                          <w:sz w:val="24"/>
                          <w:szCs w:val="24"/>
                          <w:lang w:val="uk-UA"/>
                        </w:rPr>
                        <w:t>Ointments streptocidal 10% № 1-6</w:t>
                      </w:r>
                    </w:p>
                  </w:txbxContent>
                </v:textbox>
              </v:shape>
              <v:shape id="Надпись 54" o:spid="_x0000_s1036" type="#_x0000_t202" style="position:absolute;left:762;top:4495;width:22707;height:28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" strokeweight=".5pt">
                <v:textbox>
                  <w:txbxContent>
                    <w:p w:rsidR="00B10AA3" w:rsidRPr="00483D16" w:rsidRDefault="00B10AA3" w:rsidP="00B10AA3">
                      <w:pPr>
                        <w:rPr>
                          <w:sz w:val="24"/>
                          <w:szCs w:val="24"/>
                          <w:lang w:val="uk-UA"/>
                        </w:rPr>
                      </w:pPr>
                      <w:r w:rsidRPr="00B31BC4">
                        <w:rPr>
                          <w:rFonts w:ascii="Times" w:hAnsi="Times" w:cs="Times"/>
                          <w:color w:val="000000"/>
                          <w:sz w:val="24"/>
                          <w:szCs w:val="24"/>
                          <w:lang w:val="uk-UA"/>
                        </w:rPr>
                        <w:t>Weighing animals</w:t>
                      </w:r>
                    </w:p>
                  </w:txbxContent>
                </v:textbox>
              </v:shape>
              <v:shape id="Надпись 55" o:spid="_x0000_s1037" type="#_x0000_t202" style="position:absolute;top:8686;width:23926;height:43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" strokeweight=".5pt">
                <v:textbox>
                  <w:txbxContent>
                    <w:p w:rsidR="00B10AA3" w:rsidRPr="00AC721F" w:rsidRDefault="00B10AA3" w:rsidP="00B10AA3">
                      <w:pPr>
                        <w:spacing w:after="0" w:line="240" w:lineRule="auto"/>
                        <w:rPr>
                          <w:sz w:val="24"/>
                          <w:szCs w:val="24"/>
                          <w:lang w:val="uk-UA"/>
                        </w:rPr>
                      </w:pPr>
                      <w:r w:rsidRPr="00B31BC4">
                        <w:rPr>
                          <w:rFonts w:ascii="Times" w:hAnsi="Times" w:cs="Times"/>
                          <w:color w:val="000000"/>
                          <w:sz w:val="24"/>
                          <w:szCs w:val="24"/>
                          <w:lang w:val="uk-UA"/>
                        </w:rPr>
                        <w:t>Release from the hair area of the skin in the lower back</w:t>
                      </w:r>
                    </w:p>
                  </w:txbxContent>
                </v:textbox>
              </v:shape>
              <v:group id="Группа 62" o:spid="_x0000_s1038" style="position:absolute;left:11658;top:2895;width:38024;height:42977" coordsize="38023,42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39" o:spid="_x0000_s1039" type="#_x0000_t34" style="position:absolute;left:76;top:9829;width:37947;height:1372;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" adj="-86"/>
                <v:line id="Прямая соединительная линия 38" o:spid="_x0000_s1040" style="position:absolute;flip:y;visibility:visible" from="37947,7924" to="37947,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"/>
                <v:shapetype id="_x0000_t32" coordsize="21600,21600" o:spt="32" o:oned="t" path="m,l21600,21600e" filled="f">
                  <v:path arrowok="t" fillok="f" o:connecttype="none"/>
                  <o:lock v:ext="edit" shapetype="t"/>
                </v:shapetype>
                <v:shape id="Прямая со стрелкой 43" o:spid="_x0000_s1041" type="#_x0000_t32" style="position:absolute;left:19964;top:16535;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">
                  <v:stroke endarrow="block"/>
                </v:shape>
                <v:shape id="Прямая со стрелкой 46" o:spid="_x0000_s1042" type="#_x0000_t32" style="position:absolute;left:19964;top:22707;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">
                  <v:stroke endarrow="block"/>
                </v:shape>
                <v:shape id="Прямая со стрелкой 47" o:spid="_x0000_s1043" type="#_x0000_t32" style="position:absolute;left:19964;top:30099;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7yzxAAAANsAAAAPAAAAZHJzL2Rvd25yZXYueG1sRI9Ba8JA&#10;FITvhf6H5RW81Y0K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OG/vLPEAAAA2wAAAA8A&#10;AAAAAAAAAAAAAAAABwIAAGRycy9kb3ducmV2LnhtbFBLBQYAAAAAAwADALcAAAD4AgAAAAA=&#10;">
                  <v:stroke endarrow="block"/>
                </v:shape>
                <v:shape id="Прямая со стрелкой 49" o:spid="_x0000_s1044" type="#_x0000_t32" style="position:absolute;left:19964;top:35356;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THxAAAANsAAAAPAAAAZHJzL2Rvd25yZXYueG1sRI9Ba8JA&#10;FITvhf6H5RW81Y0i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G5WJMfEAAAA2wAAAA8A&#10;AAAAAAAAAAAAAAAABwIAAGRycy9kb3ducmV2LnhtbFBLBQYAAAAAAwADALcAAAD4AgAAAAA=&#10;">
                  <v:stroke endarrow="block"/>
                </v:shape>
                <v:shape id="Прямая со стрелкой 51" o:spid="_x0000_s1045" type="#_x0000_t32" style="position:absolute;left:19964;top:41452;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FcxAAAANsAAAAPAAAAZHJzL2Rvd25yZXYueG1sRI9Ba8JA&#10;FITvhf6H5RW81Y2C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AEagVzEAAAA2wAAAA8A&#10;AAAAAAAAAAAAAAAABwIAAGRycy9kb3ducmV2LnhtbFBLBQYAAAAAAwADALcAAAD4AgAAAAA=&#10;">
                  <v:stroke endarrow="block"/>
                </v:shape>
                <v:shape id="Прямая со стрелкой 58" o:spid="_x0000_s1046" type="#_x0000_t32" style="position:absolute;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">
                  <v:stroke endarrow="block"/>
                </v:shape>
                <v:shape id="Прямая со стрелкой 59" o:spid="_x0000_s1047" type="#_x0000_t32" style="position:absolute;top:4343;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">
                  <v:stroke endarrow="block"/>
                </v:shape>
                <v:shape id="Прямая со стрелкой 60" o:spid="_x0000_s1048" type="#_x0000_t32" style="position:absolute;left:19964;top:11201;width:0;height:152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">
                  <v:stroke endarrow="block"/>
                </v:shape>
              </v:group>
            </v:group>
          </v:group>
        </w:pict>
      </w:r>
    </w:p>
    <w:p w:rsidR="00B10AA3" w:rsidRPr="0050002F" w:rsidRDefault="00B10AA3" w:rsidP="00B10AA3">
      <w:pPr>
        <w:spacing w:after="0" w:line="240" w:lineRule="auto"/>
        <w:jc w:val="center"/>
        <w:rPr>
          <w:rFonts w:ascii="Times New Roman" w:hAnsi="Times New Roman"/>
          <w:b/>
          <w:noProof/>
          <w:sz w:val="28"/>
          <w:szCs w:val="28"/>
          <w:lang w:val="en-US"/>
        </w:rPr>
      </w:pPr>
    </w:p>
    <w:p w:rsidR="00B10AA3" w:rsidRPr="00B31BC4" w:rsidRDefault="00B10AA3" w:rsidP="00B10AA3">
      <w:pPr>
        <w:spacing w:after="0" w:line="240" w:lineRule="auto"/>
        <w:jc w:val="center"/>
        <w:rPr>
          <w:rFonts w:ascii="Times New Roman" w:hAnsi="Times New Roman"/>
          <w:b/>
          <w:bCs/>
          <w:color w:val="000000"/>
          <w:sz w:val="28"/>
          <w:szCs w:val="28"/>
          <w:lang w:val="uk-UA"/>
        </w:rPr>
      </w:pPr>
    </w:p>
    <w:p w:rsidR="00B10AA3" w:rsidRPr="00B31BC4" w:rsidRDefault="00B10AA3" w:rsidP="00B10AA3">
      <w:pPr>
        <w:spacing w:after="0" w:line="240" w:lineRule="auto"/>
        <w:ind w:firstLine="567"/>
        <w:jc w:val="center"/>
        <w:rPr>
          <w:rFonts w:ascii="Times New Roman" w:hAnsi="Times New Roman"/>
          <w:b/>
          <w:color w:val="000000"/>
          <w:sz w:val="28"/>
          <w:szCs w:val="28"/>
          <w:lang w:val="uk-UA"/>
        </w:rPr>
      </w:pPr>
    </w:p>
    <w:p w:rsidR="00B10AA3" w:rsidRPr="00565FBB" w:rsidRDefault="00B10AA3" w:rsidP="00B10AA3">
      <w:pPr>
        <w:spacing w:after="0" w:line="240" w:lineRule="auto"/>
        <w:ind w:firstLine="567"/>
        <w:jc w:val="center"/>
        <w:rPr>
          <w:rFonts w:ascii="Times" w:hAnsi="Times" w:cs="Times"/>
          <w:b/>
          <w:color w:val="000000"/>
          <w:sz w:val="28"/>
          <w:szCs w:val="28"/>
          <w:lang w:val="uk-UA"/>
        </w:rPr>
      </w:pPr>
    </w:p>
    <w:p w:rsidR="00B10AA3" w:rsidRPr="00565FBB" w:rsidRDefault="00B10AA3" w:rsidP="00B10AA3">
      <w:pPr>
        <w:spacing w:after="0" w:line="240" w:lineRule="auto"/>
        <w:ind w:firstLine="567"/>
        <w:jc w:val="center"/>
        <w:rPr>
          <w:rFonts w:ascii="Times" w:hAnsi="Times" w:cs="Times"/>
          <w:b/>
          <w:color w:val="000000"/>
          <w:sz w:val="28"/>
          <w:szCs w:val="28"/>
          <w:lang w:val="uk-UA"/>
        </w:rPr>
      </w:pPr>
    </w:p>
    <w:p w:rsidR="00B10AA3" w:rsidRPr="00565FBB" w:rsidRDefault="00B10AA3" w:rsidP="00B10AA3">
      <w:pPr>
        <w:spacing w:after="0" w:line="240" w:lineRule="auto"/>
        <w:ind w:firstLine="567"/>
        <w:jc w:val="center"/>
        <w:rPr>
          <w:rFonts w:ascii="Times" w:hAnsi="Times" w:cs="Times"/>
          <w:b/>
          <w:color w:val="000000"/>
          <w:sz w:val="28"/>
          <w:szCs w:val="28"/>
          <w:lang w:val="uk-UA"/>
        </w:rPr>
      </w:pPr>
    </w:p>
    <w:p w:rsidR="00B10AA3" w:rsidRPr="00565FBB" w:rsidRDefault="00B10AA3" w:rsidP="00B10AA3">
      <w:pPr>
        <w:spacing w:after="0" w:line="240" w:lineRule="auto"/>
        <w:ind w:firstLine="567"/>
        <w:jc w:val="both"/>
        <w:rPr>
          <w:rFonts w:ascii="Times" w:hAnsi="Times" w:cs="Times"/>
          <w:color w:val="000000"/>
          <w:sz w:val="28"/>
          <w:szCs w:val="28"/>
          <w:lang w:val="uk-UA"/>
        </w:rPr>
      </w:pPr>
    </w:p>
    <w:p w:rsidR="00B10AA3" w:rsidRPr="00565FBB" w:rsidRDefault="00B10AA3" w:rsidP="00B10AA3">
      <w:pPr>
        <w:spacing w:after="0" w:line="240" w:lineRule="auto"/>
        <w:jc w:val="center"/>
        <w:rPr>
          <w:rFonts w:ascii="Times" w:hAnsi="Times" w:cs="Times"/>
          <w:b/>
          <w:bCs/>
          <w:color w:val="000000"/>
          <w:sz w:val="28"/>
          <w:szCs w:val="28"/>
          <w:lang w:val="uk-UA"/>
        </w:rPr>
      </w:pPr>
    </w:p>
    <w:p w:rsidR="00B10AA3" w:rsidRPr="00565FBB" w:rsidRDefault="00B10AA3" w:rsidP="00B10AA3">
      <w:pPr>
        <w:spacing w:after="0" w:line="240" w:lineRule="auto"/>
        <w:jc w:val="center"/>
        <w:rPr>
          <w:rFonts w:ascii="Times" w:hAnsi="Times" w:cs="Times"/>
          <w:b/>
          <w:bCs/>
          <w:color w:val="000000"/>
          <w:sz w:val="28"/>
          <w:szCs w:val="28"/>
          <w:lang w:val="uk-UA"/>
        </w:rPr>
      </w:pPr>
    </w:p>
    <w:p w:rsidR="00B10AA3" w:rsidRPr="0050002F" w:rsidRDefault="00B10AA3" w:rsidP="00B10AA3">
      <w:pPr>
        <w:rPr>
          <w:lang w:val="en-US"/>
        </w:rPr>
      </w:pPr>
    </w:p>
    <w:p w:rsidR="00B10AA3" w:rsidRDefault="00B10AA3"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ind w:firstLine="567"/>
        <w:jc w:val="center"/>
        <w:rPr>
          <w:rFonts w:ascii="Calibri" w:hAnsi="Calibri" w:cs="Calibri"/>
          <w:color w:val="000000"/>
          <w:sz w:val="28"/>
          <w:szCs w:val="28"/>
          <w:lang w:val="en-US" w:eastAsia="ru-RU"/>
        </w:rPr>
      </w:pPr>
    </w:p>
    <w:p w:rsidR="00A52DEC" w:rsidRPr="00A52DEC" w:rsidRDefault="00A52DEC" w:rsidP="00A52DEC">
      <w:pPr>
        <w:spacing w:after="0" w:line="240" w:lineRule="auto"/>
        <w:ind w:firstLine="567"/>
        <w:jc w:val="center"/>
        <w:rPr>
          <w:rFonts w:ascii="Calibri" w:hAnsi="Calibri" w:cs="Calibri"/>
          <w:color w:val="000000"/>
          <w:sz w:val="28"/>
          <w:szCs w:val="28"/>
          <w:lang w:val="en-US" w:eastAsia="ru-RU"/>
        </w:rPr>
      </w:pP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B10AA3">
      <w:pPr>
        <w:spacing w:after="0" w:line="240" w:lineRule="auto"/>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cleaned to the mark with constant stirring. 1 ml of this solution B contains 15 μg of streptocide. To build a calibration graph in a series of tubes make 0.5; 1.0; 1.5; 2.0; 2.5; 3 ml of solution B and adding purified water 3.5; 3; 2.5; 2; 1.5; 1 ml, respectively, to lead solutions to a total volume of 4 ml. The contents of all tubes are mixed and add 1 ml of 15% solution of trichloroacetic acid. From each tube take 2.5 ml of solution, transfer to clean dry numbered tubes, to each sample add with vigorous shaking 0.1 ml of 0.5% sodium nitrite solution and after 10 minutes 0.1 ml of 40% urea solution. All subsequent operations are performed similarly to those described in the determination of streptocide in the blood. </w:t>
      </w:r>
    </w:p>
    <w:p w:rsidR="00A52DEC" w:rsidRPr="00A52DEC" w:rsidRDefault="00A52DEC" w:rsidP="00B10AA3">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After measuring the optical density of the solutions, build a calibration graph (Fig. 2). On the abscissa axis are deposited known concentrations of streptocide in solution (M kg / ml), and on the ordinate axis - the corresponding indicators of the optical density of the solution.</w:t>
      </w:r>
    </w:p>
    <w:p w:rsidR="00A52DEC" w:rsidRPr="00A52DEC" w:rsidRDefault="00A52DEC" w:rsidP="00B10AA3">
      <w:pPr>
        <w:spacing w:after="0" w:line="240" w:lineRule="auto"/>
        <w:ind w:firstLine="567"/>
        <w:jc w:val="both"/>
        <w:rPr>
          <w:rFonts w:ascii="Calibri" w:hAnsi="Calibri" w:cs="Calibri"/>
          <w:color w:val="000000"/>
          <w:sz w:val="28"/>
          <w:szCs w:val="28"/>
          <w:lang w:val="en-US" w:eastAsia="ru-RU"/>
        </w:rPr>
      </w:pPr>
    </w:p>
    <w:p w:rsidR="00A52DEC" w:rsidRPr="00A52DEC" w:rsidRDefault="0000014B" w:rsidP="00A52DEC">
      <w:pPr>
        <w:spacing w:after="0" w:line="240" w:lineRule="auto"/>
        <w:ind w:firstLine="567"/>
        <w:jc w:val="both"/>
        <w:rPr>
          <w:rFonts w:ascii="Calibri" w:hAnsi="Calibri" w:cs="Calibri"/>
          <w:color w:val="000000"/>
          <w:sz w:val="28"/>
          <w:szCs w:val="28"/>
          <w:lang w:val="en-US" w:eastAsia="ru-RU"/>
        </w:rPr>
      </w:pPr>
      <w:r w:rsidRPr="0000014B">
        <w:rPr>
          <w:rFonts w:ascii="Calibri" w:hAnsi="Calibri" w:cs="Calibri"/>
          <w:noProof/>
          <w:color w:val="000000"/>
          <w:sz w:val="28"/>
          <w:szCs w:val="28"/>
          <w:lang w:eastAsia="ru-RU"/>
        </w:rPr>
        <w:drawing>
          <wp:inline distT="0" distB="0" distL="0" distR="0">
            <wp:extent cx="3139440" cy="2522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139440" cy="2522220"/>
                    </a:xfrm>
                    <a:prstGeom prst="rect">
                      <a:avLst/>
                    </a:prstGeom>
                    <a:noFill/>
                    <a:ln>
                      <a:noFill/>
                    </a:ln>
                  </pic:spPr>
                </pic:pic>
              </a:graphicData>
            </a:graphic>
          </wp:inline>
        </w:drawing>
      </w:r>
    </w:p>
    <w:p w:rsidR="00A52DEC" w:rsidRPr="00A52DEC" w:rsidRDefault="00A52DEC" w:rsidP="00A52DEC">
      <w:pPr>
        <w:spacing w:after="0" w:line="240" w:lineRule="auto"/>
        <w:jc w:val="both"/>
        <w:rPr>
          <w:rFonts w:ascii="Calibri" w:hAnsi="Calibri" w:cs="Calibri"/>
          <w:color w:val="000000"/>
          <w:sz w:val="24"/>
          <w:szCs w:val="24"/>
          <w:lang w:val="en-US" w:eastAsia="ru-RU"/>
        </w:rPr>
      </w:pPr>
      <w:r w:rsidRPr="00A52DEC">
        <w:rPr>
          <w:rFonts w:ascii="Times" w:hAnsi="Times" w:cs="Times"/>
          <w:b/>
          <w:bCs/>
          <w:color w:val="000000"/>
          <w:sz w:val="24"/>
          <w:szCs w:val="24"/>
          <w:lang w:val="en-US" w:eastAsia="ru-RU"/>
        </w:rPr>
        <w:t xml:space="preserve">Fig. 2. </w:t>
      </w:r>
      <w:r w:rsidRPr="00A52DEC">
        <w:rPr>
          <w:rFonts w:ascii="Times" w:hAnsi="Times" w:cs="Times"/>
          <w:color w:val="000000"/>
          <w:sz w:val="24"/>
          <w:szCs w:val="24"/>
          <w:lang w:val="en-US" w:eastAsia="ru-RU"/>
        </w:rPr>
        <w:t>Calibration graph for quantitative determination of streptocide in the blood</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Determination of streptocide in the blood</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4.8 ml of a 5% solution of trichloroacetic acid are added to centrifuge tubes for protein precipitation, 0.2 ml of blood taken from a rabbit's ear vein is added by micropipette, mixed by rinsing the micropipette with the contents of the tube 2-3 times, and left for a few minutes until complete hemolysis. . The tubes are centrifuged for 10 minutes at 6000 rpm. Pour 2.5 ml of centrifugate, 0.1 ml of 0.5% </w:t>
      </w:r>
      <w:r w:rsidRPr="00A52DEC">
        <w:rPr>
          <w:rFonts w:ascii="Times" w:hAnsi="Times" w:cs="Times"/>
          <w:color w:val="000000"/>
          <w:sz w:val="28"/>
          <w:szCs w:val="28"/>
          <w:lang w:val="en-US" w:eastAsia="ru-RU"/>
        </w:rPr>
        <w:lastRenderedPageBreak/>
        <w:t xml:space="preserve">sodium nitrite solution into chemical tubes and mix thoroughly. At the end of 10 min add 0.1 ml of 40% urea solution and mix again. </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After 10 minutes, 1.5 ml of saturated sodium acetate solution and 0.25 ml of 0.5% resorcinol solution are added to the samples and left for 15 minutes, the contents are mixed thoroughly with a glass rod or shaken. The optical density of the solution is measured using a device FEK-56 PM (blue light filter № 4, cuvettes with a layer thickness of 10 mm). In parallel, perform photocolorimetry of a control sample that does not contain streptocide, treated similarly to test samples.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The concentration of streptocide ( </w:t>
      </w:r>
      <w:r w:rsidRPr="00A52DEC">
        <w:rPr>
          <w:rFonts w:ascii="Times" w:hAnsi="Times" w:cs="Times"/>
          <w:i/>
          <w:iCs/>
          <w:color w:val="000000"/>
          <w:sz w:val="28"/>
          <w:szCs w:val="28"/>
          <w:lang w:val="en-US" w:eastAsia="ru-RU"/>
        </w:rPr>
        <w:t xml:space="preserve">X </w:t>
      </w:r>
      <w:r w:rsidRPr="00A52DEC">
        <w:rPr>
          <w:rFonts w:ascii="Times" w:hAnsi="Times" w:cs="Times"/>
          <w:color w:val="000000"/>
          <w:sz w:val="28"/>
          <w:szCs w:val="28"/>
          <w:lang w:val="en-US" w:eastAsia="ru-RU"/>
        </w:rPr>
        <w:t>, μg / ml) in the blood of experimental animals is determined by the formula:</w:t>
      </w:r>
    </w:p>
    <w:p w:rsidR="00A52DEC" w:rsidRPr="00A52DEC" w:rsidRDefault="0000014B" w:rsidP="00A52DEC">
      <w:pPr>
        <w:spacing w:after="0" w:line="240" w:lineRule="auto"/>
        <w:jc w:val="center"/>
        <w:rPr>
          <w:rFonts w:ascii="Calibri" w:hAnsi="Calibri" w:cs="Calibri"/>
          <w:color w:val="000000"/>
          <w:sz w:val="28"/>
          <w:szCs w:val="28"/>
          <w:lang w:val="en-US" w:eastAsia="ru-RU"/>
        </w:rPr>
      </w:pPr>
      <w:r w:rsidRPr="0000014B">
        <w:rPr>
          <w:rFonts w:ascii="Times" w:hAnsi="Times" w:cs="Times"/>
          <w:noProof/>
          <w:color w:val="000000"/>
          <w:sz w:val="28"/>
          <w:szCs w:val="28"/>
          <w:lang w:eastAsia="ru-RU"/>
        </w:rPr>
        <w:drawing>
          <wp:inline distT="0" distB="0" distL="0" distR="0">
            <wp:extent cx="1226820" cy="609600"/>
            <wp:effectExtent l="0" t="0" r="0" b="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226820" cy="609600"/>
                    </a:xfrm>
                    <a:prstGeom prst="rect">
                      <a:avLst/>
                    </a:prstGeom>
                    <a:noFill/>
                    <a:ln>
                      <a:noFill/>
                    </a:ln>
                  </pic:spPr>
                </pic:pic>
              </a:graphicData>
            </a:graphic>
          </wp:inline>
        </w:drawing>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where </w:t>
      </w:r>
      <w:r w:rsidRPr="00A52DEC">
        <w:rPr>
          <w:rFonts w:ascii="Times" w:hAnsi="Times" w:cs="Times"/>
          <w:i/>
          <w:iCs/>
          <w:color w:val="000000"/>
          <w:sz w:val="28"/>
          <w:szCs w:val="28"/>
          <w:lang w:val="en-US" w:eastAsia="ru-RU"/>
        </w:rPr>
        <w:t xml:space="preserve">C is the </w:t>
      </w:r>
      <w:r w:rsidRPr="00A52DEC">
        <w:rPr>
          <w:rFonts w:ascii="Times" w:hAnsi="Times" w:cs="Times"/>
          <w:color w:val="000000"/>
          <w:sz w:val="28"/>
          <w:szCs w:val="28"/>
          <w:lang w:val="en-US" w:eastAsia="ru-RU"/>
        </w:rPr>
        <w:t>concentration of the substance determined according to the calibration schedule (m kg / ml);</w:t>
      </w:r>
    </w:p>
    <w:p w:rsidR="00A52DEC" w:rsidRPr="00A52DEC" w:rsidRDefault="00A52DEC" w:rsidP="00A52DEC">
      <w:pPr>
        <w:spacing w:after="0" w:line="240" w:lineRule="auto"/>
        <w:ind w:firstLine="284"/>
        <w:jc w:val="both"/>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 xml:space="preserve">V is the </w:t>
      </w:r>
      <w:r w:rsidRPr="00A52DEC">
        <w:rPr>
          <w:rFonts w:ascii="Times" w:hAnsi="Times" w:cs="Times"/>
          <w:color w:val="000000"/>
          <w:sz w:val="28"/>
          <w:szCs w:val="28"/>
          <w:lang w:val="en-US" w:eastAsia="ru-RU"/>
        </w:rPr>
        <w:t>total volume of the centrifuge (ml);</w:t>
      </w:r>
    </w:p>
    <w:p w:rsidR="00A52DEC" w:rsidRPr="00A52DEC" w:rsidRDefault="00A52DEC" w:rsidP="00A52DEC">
      <w:pPr>
        <w:spacing w:after="0" w:line="240" w:lineRule="auto"/>
        <w:ind w:firstLine="284"/>
        <w:jc w:val="both"/>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 xml:space="preserve">V </w:t>
      </w:r>
      <w:r w:rsidRPr="00A52DEC">
        <w:rPr>
          <w:rFonts w:ascii="Times" w:hAnsi="Times" w:cs="Times"/>
          <w:color w:val="000000"/>
          <w:sz w:val="19"/>
          <w:szCs w:val="19"/>
          <w:vertAlign w:val="subscript"/>
          <w:lang w:val="en-US" w:eastAsia="ru-RU"/>
        </w:rPr>
        <w:t xml:space="preserve">1 </w:t>
      </w:r>
      <w:r w:rsidRPr="00A52DEC">
        <w:rPr>
          <w:rFonts w:ascii="Times" w:hAnsi="Times" w:cs="Times"/>
          <w:i/>
          <w:iCs/>
          <w:color w:val="000000"/>
          <w:sz w:val="28"/>
          <w:szCs w:val="28"/>
          <w:lang w:val="en-US" w:eastAsia="ru-RU"/>
        </w:rPr>
        <w:t xml:space="preserve">- the </w:t>
      </w:r>
      <w:r w:rsidRPr="00A52DEC">
        <w:rPr>
          <w:rFonts w:ascii="Times" w:hAnsi="Times" w:cs="Times"/>
          <w:color w:val="000000"/>
          <w:sz w:val="28"/>
          <w:szCs w:val="28"/>
          <w:lang w:val="en-US" w:eastAsia="ru-RU"/>
        </w:rPr>
        <w:t>amount of centrifuge taken to determine streptocide (ml);</w:t>
      </w:r>
    </w:p>
    <w:p w:rsidR="00A52DEC" w:rsidRPr="00A52DEC" w:rsidRDefault="00A52DEC" w:rsidP="00A52DEC">
      <w:pPr>
        <w:spacing w:after="0" w:line="240" w:lineRule="auto"/>
        <w:ind w:firstLine="284"/>
        <w:jc w:val="both"/>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 xml:space="preserve">a - the </w:t>
      </w:r>
      <w:r w:rsidRPr="00A52DEC">
        <w:rPr>
          <w:rFonts w:ascii="Times" w:hAnsi="Times" w:cs="Times"/>
          <w:color w:val="000000"/>
          <w:sz w:val="28"/>
          <w:szCs w:val="28"/>
          <w:lang w:val="en-US" w:eastAsia="ru-RU"/>
        </w:rPr>
        <w:t>amount of blood taken for analysis (ml);</w:t>
      </w:r>
    </w:p>
    <w:p w:rsidR="00A52DEC" w:rsidRPr="00A52DEC" w:rsidRDefault="00A52DEC" w:rsidP="00A52DEC">
      <w:pPr>
        <w:spacing w:after="0" w:line="240" w:lineRule="auto"/>
        <w:ind w:firstLine="284"/>
        <w:jc w:val="both"/>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 xml:space="preserve">K is the </w:t>
      </w:r>
      <w:r w:rsidRPr="00A52DEC">
        <w:rPr>
          <w:rFonts w:ascii="Times" w:hAnsi="Times" w:cs="Times"/>
          <w:color w:val="000000"/>
          <w:sz w:val="28"/>
          <w:szCs w:val="28"/>
          <w:lang w:val="en-US" w:eastAsia="ru-RU"/>
        </w:rPr>
        <w:t>amount of blood that is calculated</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(Usually 1 or 100 ml, in our experience 1 ml).</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Example of calculation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 xml:space="preserve">Ointment № 2. </w:t>
      </w:r>
      <w:r w:rsidRPr="00A52DEC">
        <w:rPr>
          <w:rFonts w:ascii="Times" w:hAnsi="Times" w:cs="Times"/>
          <w:color w:val="000000"/>
          <w:sz w:val="28"/>
          <w:szCs w:val="28"/>
          <w:lang w:val="en-US" w:eastAsia="ru-RU"/>
        </w:rPr>
        <w:t>10% streptocidal ointment (vaseline-lanolin-based).</w:t>
      </w:r>
    </w:p>
    <w:p w:rsidR="00A52DEC" w:rsidRPr="00A52DEC" w:rsidRDefault="0000014B" w:rsidP="00A52DEC">
      <w:pPr>
        <w:spacing w:after="0" w:line="240" w:lineRule="auto"/>
        <w:jc w:val="both"/>
        <w:rPr>
          <w:rFonts w:ascii="Calibri" w:hAnsi="Calibri" w:cs="Calibri"/>
          <w:color w:val="000000"/>
          <w:sz w:val="28"/>
          <w:szCs w:val="28"/>
          <w:lang w:val="en-US" w:eastAsia="ru-RU"/>
        </w:rPr>
      </w:pPr>
      <w:r w:rsidRPr="0000014B">
        <w:rPr>
          <w:rFonts w:ascii="Calibri" w:hAnsi="Calibri" w:cs="Calibri"/>
          <w:noProof/>
          <w:color w:val="000000"/>
          <w:sz w:val="28"/>
          <w:szCs w:val="28"/>
          <w:lang w:eastAsia="ru-RU"/>
        </w:rPr>
        <w:drawing>
          <wp:inline distT="0" distB="0" distL="0" distR="0">
            <wp:extent cx="2842260" cy="16306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842260" cy="1630680"/>
                    </a:xfrm>
                    <a:prstGeom prst="rect">
                      <a:avLst/>
                    </a:prstGeom>
                    <a:noFill/>
                    <a:ln>
                      <a:noFill/>
                    </a:ln>
                  </pic:spPr>
                </pic:pic>
              </a:graphicData>
            </a:graphic>
          </wp:inline>
        </w:drawing>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Enter the results in table. № 4.</w:t>
      </w:r>
    </w:p>
    <w:p w:rsidR="00A52DEC" w:rsidRPr="00A52DEC" w:rsidRDefault="00A52DEC" w:rsidP="00A52DEC">
      <w:pPr>
        <w:spacing w:after="0" w:line="240" w:lineRule="auto"/>
        <w:jc w:val="right"/>
        <w:rPr>
          <w:rFonts w:ascii="Calibri" w:hAnsi="Calibri" w:cs="Calibri"/>
          <w:color w:val="000000"/>
          <w:sz w:val="28"/>
          <w:szCs w:val="28"/>
          <w:lang w:val="en-US" w:eastAsia="ru-RU"/>
        </w:rPr>
      </w:pPr>
      <w:r w:rsidRPr="00A52DEC">
        <w:rPr>
          <w:rFonts w:ascii="Times" w:hAnsi="Times" w:cs="Times"/>
          <w:i/>
          <w:iCs/>
          <w:color w:val="000000"/>
          <w:sz w:val="28"/>
          <w:szCs w:val="28"/>
          <w:lang w:val="en-US" w:eastAsia="ru-RU"/>
        </w:rPr>
        <w:t>Table 4</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INFLUENCE OF EXCIPIENTS</w:t>
      </w: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w:hAnsi="Times" w:cs="Times"/>
          <w:b/>
          <w:bCs/>
          <w:color w:val="000000"/>
          <w:sz w:val="28"/>
          <w:szCs w:val="28"/>
          <w:lang w:val="en-US" w:eastAsia="ru-RU"/>
        </w:rPr>
        <w:t>ON THE SUCTION OF STREPTOCIDE IN THE BLOOD FROM OINTMENTS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470"/>
        <w:gridCol w:w="3690"/>
        <w:gridCol w:w="1590"/>
        <w:gridCol w:w="1830"/>
        <w:gridCol w:w="2260"/>
      </w:tblGrid>
      <w:tr w:rsidR="00A52DEC" w:rsidRPr="00610AFA" w:rsidTr="00A52DEC">
        <w:trPr>
          <w:trHeight w:val="216"/>
        </w:trPr>
        <w:tc>
          <w:tcPr>
            <w:tcW w:w="378" w:type="dxa"/>
            <w:vMerge w:val="restart"/>
            <w:tcBorders>
              <w:top w:val="single" w:sz="6" w:space="0" w:color="000000"/>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 p / p</w:t>
            </w:r>
          </w:p>
        </w:tc>
        <w:tc>
          <w:tcPr>
            <w:tcW w:w="3711" w:type="dxa"/>
            <w:vMerge w:val="restart"/>
            <w:tcBorders>
              <w:top w:val="single" w:sz="6" w:space="0" w:color="000000"/>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The name of the ointment</w:t>
            </w:r>
          </w:p>
        </w:tc>
        <w:tc>
          <w:tcPr>
            <w:tcW w:w="5719" w:type="dxa"/>
            <w:gridSpan w:val="3"/>
            <w:tcBorders>
              <w:top w:val="single" w:sz="6" w:space="0" w:color="000000"/>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center"/>
              <w:rPr>
                <w:rFonts w:ascii="Calibri" w:hAnsi="Calibri" w:cs="Calibri"/>
                <w:sz w:val="28"/>
                <w:szCs w:val="28"/>
                <w:lang w:val="en-US" w:eastAsia="ru-RU"/>
              </w:rPr>
            </w:pPr>
            <w:r w:rsidRPr="00A52DEC">
              <w:rPr>
                <w:rFonts w:ascii="Times" w:hAnsi="Times" w:cs="Times"/>
                <w:sz w:val="28"/>
                <w:szCs w:val="28"/>
                <w:lang w:val="en-US" w:eastAsia="ru-RU"/>
              </w:rPr>
              <w:t>Diameter of the painted zone, mm</w:t>
            </w:r>
          </w:p>
        </w:tc>
      </w:tr>
      <w:tr w:rsidR="00A52DEC" w:rsidRPr="00A52DEC" w:rsidTr="00A52DEC">
        <w:trPr>
          <w:trHeight w:val="240"/>
        </w:trPr>
        <w:tc>
          <w:tcPr>
            <w:tcW w:w="0" w:type="auto"/>
            <w:vMerge/>
            <w:tcBorders>
              <w:bottom w:val="single" w:sz="6" w:space="0" w:color="auto"/>
              <w:right w:val="single" w:sz="6" w:space="0" w:color="auto"/>
            </w:tcBorders>
            <w:vAlign w:val="center"/>
            <w:hideMark/>
          </w:tcPr>
          <w:p w:rsidR="00A52DEC" w:rsidRPr="00A52DEC" w:rsidRDefault="00A52DEC" w:rsidP="00A52DEC">
            <w:pPr>
              <w:spacing w:after="0" w:line="240" w:lineRule="auto"/>
              <w:rPr>
                <w:rFonts w:ascii="Calibri" w:hAnsi="Calibri" w:cs="Calibri"/>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A52DEC" w:rsidRPr="00A52DEC" w:rsidRDefault="00A52DEC" w:rsidP="00A52DEC">
            <w:pPr>
              <w:spacing w:after="0" w:line="240" w:lineRule="auto"/>
              <w:rPr>
                <w:rFonts w:ascii="Calibri" w:hAnsi="Calibri" w:cs="Calibri"/>
                <w:sz w:val="28"/>
                <w:szCs w:val="28"/>
                <w:lang w:val="en-US" w:eastAsia="ru-RU"/>
              </w:rPr>
            </w:pP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0.5 years</w:t>
            </w: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1:00</w:t>
            </w: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2 hours</w:t>
            </w:r>
          </w:p>
        </w:tc>
      </w:tr>
      <w:tr w:rsidR="00A52DEC" w:rsidRPr="00A52DEC" w:rsidTr="00A52DEC">
        <w:tc>
          <w:tcPr>
            <w:tcW w:w="37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1</w:t>
            </w:r>
          </w:p>
        </w:tc>
        <w:tc>
          <w:tcPr>
            <w:tcW w:w="371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on Vaseline</w:t>
            </w: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r w:rsidR="00A52DEC" w:rsidRPr="00610AFA" w:rsidTr="00A52DEC">
        <w:tc>
          <w:tcPr>
            <w:tcW w:w="37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2</w:t>
            </w:r>
          </w:p>
        </w:tc>
        <w:tc>
          <w:tcPr>
            <w:tcW w:w="371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on vaseline-lanolin basis</w:t>
            </w: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r w:rsidR="00A52DEC" w:rsidRPr="00A52DEC" w:rsidTr="00A52DEC">
        <w:tc>
          <w:tcPr>
            <w:tcW w:w="37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lastRenderedPageBreak/>
              <w:t>3</w:t>
            </w:r>
          </w:p>
        </w:tc>
        <w:tc>
          <w:tcPr>
            <w:tcW w:w="371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on vaseline-lanolin basis</w:t>
            </w:r>
          </w:p>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with dimethyl sulfoxide</w:t>
            </w: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r w:rsidR="00A52DEC" w:rsidRPr="00610AFA" w:rsidTr="00A52DEC">
        <w:tc>
          <w:tcPr>
            <w:tcW w:w="37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4</w:t>
            </w:r>
          </w:p>
        </w:tc>
        <w:tc>
          <w:tcPr>
            <w:tcW w:w="371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based on Kutumov</w:t>
            </w: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r w:rsidR="00A52DEC" w:rsidRPr="00610AFA" w:rsidTr="00A52DEC">
        <w:tc>
          <w:tcPr>
            <w:tcW w:w="37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5</w:t>
            </w:r>
          </w:p>
        </w:tc>
        <w:tc>
          <w:tcPr>
            <w:tcW w:w="371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on a methylcellulose gel</w:t>
            </w:r>
          </w:p>
        </w:tc>
        <w:tc>
          <w:tcPr>
            <w:tcW w:w="159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r w:rsidR="00A52DEC" w:rsidRPr="00610AFA" w:rsidTr="00A52DEC">
        <w:tc>
          <w:tcPr>
            <w:tcW w:w="378" w:type="dxa"/>
            <w:tcBorders>
              <w:top w:val="single" w:sz="6" w:space="0" w:color="auto"/>
              <w:bottom w:val="single" w:sz="6" w:space="0" w:color="000000"/>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r w:rsidRPr="00A52DEC">
              <w:rPr>
                <w:rFonts w:ascii="Times" w:hAnsi="Times" w:cs="Times"/>
                <w:sz w:val="28"/>
                <w:szCs w:val="28"/>
                <w:lang w:val="en-US" w:eastAsia="ru-RU"/>
              </w:rPr>
              <w:t>6</w:t>
            </w:r>
          </w:p>
        </w:tc>
        <w:tc>
          <w:tcPr>
            <w:tcW w:w="3711" w:type="dxa"/>
            <w:tcBorders>
              <w:top w:val="single" w:sz="6" w:space="0" w:color="auto"/>
              <w:left w:val="single" w:sz="6" w:space="0" w:color="auto"/>
              <w:bottom w:val="single" w:sz="6" w:space="0" w:color="000000"/>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10% streptocidal ointment</w:t>
            </w:r>
          </w:p>
          <w:p w:rsidR="00A52DEC" w:rsidRPr="00A52DEC" w:rsidRDefault="00A52DEC" w:rsidP="00A52DEC">
            <w:pPr>
              <w:spacing w:after="0" w:line="240" w:lineRule="auto"/>
              <w:jc w:val="both"/>
              <w:rPr>
                <w:rFonts w:ascii="Calibri" w:hAnsi="Calibri" w:cs="Calibri"/>
                <w:sz w:val="28"/>
                <w:szCs w:val="28"/>
                <w:lang w:val="en-US" w:eastAsia="ru-RU"/>
              </w:rPr>
            </w:pPr>
            <w:r w:rsidRPr="00A52DEC">
              <w:rPr>
                <w:rFonts w:ascii="Times" w:hAnsi="Times" w:cs="Times"/>
                <w:sz w:val="28"/>
                <w:szCs w:val="28"/>
                <w:lang w:val="en-US" w:eastAsia="ru-RU"/>
              </w:rPr>
              <w:t>on a polyethylene oxide basis</w:t>
            </w:r>
          </w:p>
        </w:tc>
        <w:tc>
          <w:tcPr>
            <w:tcW w:w="1599" w:type="dxa"/>
            <w:tcBorders>
              <w:top w:val="single" w:sz="6" w:space="0" w:color="auto"/>
              <w:left w:val="single" w:sz="6" w:space="0" w:color="auto"/>
              <w:bottom w:val="single" w:sz="6" w:space="0" w:color="000000"/>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3" w:type="dxa"/>
            <w:tcBorders>
              <w:top w:val="single" w:sz="6" w:space="0" w:color="auto"/>
              <w:left w:val="single" w:sz="6" w:space="0" w:color="auto"/>
              <w:bottom w:val="single" w:sz="6" w:space="0" w:color="000000"/>
              <w:right w:val="single" w:sz="6" w:space="0" w:color="auto"/>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c>
          <w:tcPr>
            <w:tcW w:w="1845" w:type="dxa"/>
            <w:tcBorders>
              <w:top w:val="single" w:sz="6" w:space="0" w:color="auto"/>
              <w:left w:val="single" w:sz="6" w:space="0" w:color="auto"/>
              <w:bottom w:val="single" w:sz="6" w:space="0" w:color="000000"/>
            </w:tcBorders>
            <w:tcMar>
              <w:top w:w="0" w:type="dxa"/>
              <w:left w:w="101" w:type="dxa"/>
              <w:bottom w:w="0" w:type="dxa"/>
              <w:right w:w="101" w:type="dxa"/>
            </w:tcMar>
            <w:hideMark/>
          </w:tcPr>
          <w:p w:rsidR="00A52DEC" w:rsidRPr="00A52DEC" w:rsidRDefault="00A52DEC" w:rsidP="00A52DEC">
            <w:pPr>
              <w:spacing w:after="0" w:line="240" w:lineRule="auto"/>
              <w:rPr>
                <w:rFonts w:ascii="Calibri" w:hAnsi="Calibri" w:cs="Calibri"/>
                <w:sz w:val="28"/>
                <w:szCs w:val="28"/>
                <w:lang w:val="en-US" w:eastAsia="ru-RU"/>
              </w:rPr>
            </w:pPr>
          </w:p>
        </w:tc>
      </w:tr>
    </w:tbl>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 xml:space="preserve">Using the data in Table № 4, construct the kinetics of streptocide absorption into the blood depending on the nature of the base used in the coordinates: the concentration of the substance (m kg / ml) along the abscissa and the ordinate - time ( </w:t>
      </w:r>
      <w:r w:rsidRPr="00A52DEC">
        <w:rPr>
          <w:rFonts w:ascii="Times" w:hAnsi="Times" w:cs="Times"/>
          <w:i/>
          <w:iCs/>
          <w:color w:val="000000"/>
          <w:sz w:val="28"/>
          <w:szCs w:val="28"/>
          <w:lang w:val="en-US" w:eastAsia="ru-RU"/>
        </w:rPr>
        <w:t xml:space="preserve">t </w:t>
      </w:r>
      <w:r w:rsidRPr="00A52DEC">
        <w:rPr>
          <w:rFonts w:ascii="Times" w:hAnsi="Times" w:cs="Times"/>
          <w:color w:val="000000"/>
          <w:sz w:val="28"/>
          <w:szCs w:val="28"/>
          <w:lang w:val="en-US" w:eastAsia="ru-RU"/>
        </w:rPr>
        <w:t>, h).</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After completing the task, draw conclusions about the influence of the nature of the ointment base on the rate of absorption of streptocide into the blood of animals. Compare the experimental data obtained by the methods "in vivo" and "in vitro".</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w:hAnsi="Times" w:cs="Times"/>
          <w:color w:val="000000"/>
          <w:sz w:val="28"/>
          <w:szCs w:val="28"/>
          <w:lang w:val="en-US" w:eastAsia="ru-RU"/>
        </w:rPr>
        <w:t>Draw a conclusion about the correlation of these methods.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3.3.requirements for work results, including before registration;</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In accordance with the recommendations (instructions) for the tasks.</w:t>
      </w:r>
    </w:p>
    <w:p w:rsidR="00A52DEC" w:rsidRPr="00A52DEC" w:rsidRDefault="00A52DEC" w:rsidP="00A52DEC">
      <w:pPr>
        <w:spacing w:after="0" w:line="240" w:lineRule="auto"/>
        <w:jc w:val="both"/>
        <w:rPr>
          <w:rFonts w:ascii="Calibri" w:hAnsi="Calibri" w:cs="Calibri"/>
          <w:color w:val="000000"/>
          <w:sz w:val="28"/>
          <w:szCs w:val="28"/>
          <w:lang w:val="en-US" w:eastAsia="ru-RU"/>
        </w:rPr>
      </w:pP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3.1.control materials for the final stage of the lesson: tasks, tasks, tests, etc .:</w:t>
      </w:r>
    </w:p>
    <w:p w:rsidR="00A52DEC" w:rsidRPr="00A52DEC" w:rsidRDefault="00A52DEC" w:rsidP="00A52DEC">
      <w:pPr>
        <w:spacing w:after="0" w:line="240" w:lineRule="auto"/>
        <w:jc w:val="both"/>
        <w:rPr>
          <w:rFonts w:ascii="Calibri" w:hAnsi="Calibri" w:cs="Calibri"/>
          <w:color w:val="000000"/>
          <w:sz w:val="28"/>
          <w:szCs w:val="28"/>
          <w:lang w:val="en-US" w:eastAsia="ru-RU"/>
        </w:rPr>
      </w:pP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1. The pharmacist begins to work. Specify what solution to treat your hands:</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Ethyl alcohol</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1% chloramine solution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A solution of chloramine 0.5%</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Chlorhexidine solution</w:t>
      </w:r>
    </w:p>
    <w:p w:rsidR="00A52DEC" w:rsidRPr="00A52DEC" w:rsidRDefault="00A52DEC" w:rsidP="00A52DEC">
      <w:pPr>
        <w:spacing w:after="0" w:line="240" w:lineRule="auto"/>
        <w:ind w:firstLine="567"/>
        <w:jc w:val="both"/>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Alcohol - ether mixture</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2. The pharmacist begins to work. Specify what solution to treat your hands: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Ethyl alcohol</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1% chloramine solution</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A solution of chloramine 0.5%</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Chlorhexidine solution</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Alcohol - ether mixture</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3. What does the term “in vivo” mean?</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experiments performed on living tissues and whole organisms or inside them</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is a technique of performing an experiment in vitro, or, more generally, in a controlled environment outside a living organism</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done with a computer or with a computer simulation</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study of the process at the same place where it takes place (without moving the object of observation to any special conditions, in a special environment)</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lastRenderedPageBreak/>
        <w:t>E. means that events occur outside the living organism</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4. Which of the following disciplines is not the basis for the development of biopharmacy?</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pharmaceutical chemistry</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drug technology</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anatomy</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pharmacokinetics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pharmacodynamics</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5. What is the main task in biopharmacy as a science?</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theoretical and experimental substantiation of the creation of new drugs</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improvement of existing drugs</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quality control of medicines</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synthesis of new substances</w:t>
      </w:r>
    </w:p>
    <w:p w:rsidR="00A52DEC" w:rsidRPr="00A52DEC" w:rsidRDefault="00A52DEC" w:rsidP="00A52DEC">
      <w:pPr>
        <w:spacing w:after="0" w:line="240" w:lineRule="auto"/>
        <w:ind w:left="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theoretical and experimental substantiation of creation of new medicines, improvement of already existing medicines</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6. Which of the following factors is pharmaceutical?</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concomitant pathologies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become ill</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dosage form and ways of its introduction into an organism</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time of taking the drug</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age of the patient</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7. Which of the following factors does not apply to pharmaceuticals?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excipients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simple chemical modification</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dosage form and ways of its introduction into an organism</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age of the patient</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technological process</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8. Which of the following factors does not apply to pharmaceuticals?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excipients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concomitant pathologies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dosage form and ways of its introduction into an organism</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physical condition of the drug</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technological process</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9. Which method does not apply to in vitro methods?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chromatographic</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direct diffusion across the membrane</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"solubility" test</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D. agar plates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on laboratory animals</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10. Which method does not apply to in vitro methods?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direct diffusion across the membrane</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on healthy volunteers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C. agar plates</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lastRenderedPageBreak/>
        <w:t>D. chromatographic</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"solubility" test</w:t>
      </w:r>
    </w:p>
    <w:p w:rsidR="00A52DEC" w:rsidRPr="00A52DEC" w:rsidRDefault="00A52DEC" w:rsidP="00A52DEC">
      <w:pPr>
        <w:spacing w:after="0" w:line="240" w:lineRule="auto"/>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21. Which scientists were the founders of biopharmacy in Ukraine?</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A. Pertsev IM, Chernykh VP</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B. Hajai YI, Salo DP</w:t>
      </w:r>
    </w:p>
    <w:p w:rsidR="00A52DEC" w:rsidRPr="00AD7031" w:rsidRDefault="00A52DEC" w:rsidP="00A52DEC">
      <w:pPr>
        <w:spacing w:after="0" w:line="240" w:lineRule="auto"/>
        <w:ind w:firstLine="567"/>
        <w:rPr>
          <w:rFonts w:ascii="Calibri" w:hAnsi="Calibri" w:cs="Calibri"/>
          <w:color w:val="000000"/>
          <w:sz w:val="28"/>
          <w:szCs w:val="28"/>
          <w:lang w:val="de-DE" w:eastAsia="ru-RU"/>
        </w:rPr>
      </w:pPr>
      <w:r w:rsidRPr="00AD7031">
        <w:rPr>
          <w:rFonts w:ascii="Times New Roman" w:hAnsi="Times New Roman"/>
          <w:color w:val="000000"/>
          <w:sz w:val="28"/>
          <w:szCs w:val="28"/>
          <w:lang w:val="de-DE" w:eastAsia="ru-RU"/>
        </w:rPr>
        <w:t>C. Pertsev IM, Salo DP</w:t>
      </w:r>
    </w:p>
    <w:p w:rsidR="00A52DEC" w:rsidRPr="00AD7031" w:rsidRDefault="00A52DEC" w:rsidP="00A52DEC">
      <w:pPr>
        <w:spacing w:after="0" w:line="240" w:lineRule="auto"/>
        <w:ind w:firstLine="567"/>
        <w:rPr>
          <w:rFonts w:ascii="Calibri" w:hAnsi="Calibri" w:cs="Calibri"/>
          <w:color w:val="000000"/>
          <w:sz w:val="28"/>
          <w:szCs w:val="28"/>
          <w:lang w:val="de-DE" w:eastAsia="ru-RU"/>
        </w:rPr>
      </w:pPr>
      <w:r w:rsidRPr="00AD7031">
        <w:rPr>
          <w:rFonts w:ascii="Times New Roman" w:hAnsi="Times New Roman"/>
          <w:color w:val="000000"/>
          <w:sz w:val="28"/>
          <w:szCs w:val="28"/>
          <w:lang w:val="de-DE" w:eastAsia="ru-RU"/>
        </w:rPr>
        <w:t>D. Tikhonov AI, Pertsev IM</w:t>
      </w:r>
    </w:p>
    <w:p w:rsidR="00A52DEC" w:rsidRPr="00A52DEC" w:rsidRDefault="00A52DEC" w:rsidP="00A52DEC">
      <w:pPr>
        <w:spacing w:after="0" w:line="240" w:lineRule="auto"/>
        <w:ind w:firstLine="567"/>
        <w:rPr>
          <w:rFonts w:ascii="Calibri" w:hAnsi="Calibri" w:cs="Calibri"/>
          <w:color w:val="000000"/>
          <w:sz w:val="28"/>
          <w:szCs w:val="28"/>
          <w:lang w:val="en-US" w:eastAsia="ru-RU"/>
        </w:rPr>
      </w:pPr>
      <w:r w:rsidRPr="00A52DEC">
        <w:rPr>
          <w:rFonts w:ascii="Times New Roman" w:hAnsi="Times New Roman"/>
          <w:color w:val="000000"/>
          <w:sz w:val="28"/>
          <w:szCs w:val="28"/>
          <w:lang w:val="en-US" w:eastAsia="ru-RU"/>
        </w:rPr>
        <w:t>E. Bashura OG, Yarnykh TO</w:t>
      </w:r>
    </w:p>
    <w:p w:rsidR="00A52DEC" w:rsidRPr="00A52DEC" w:rsidRDefault="00A52DEC" w:rsidP="00A52DEC">
      <w:pPr>
        <w:spacing w:after="0" w:line="240" w:lineRule="auto"/>
        <w:jc w:val="both"/>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IV. Summing up</w:t>
      </w: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p>
    <w:p w:rsidR="00A52DEC" w:rsidRPr="00A52DEC" w:rsidRDefault="00A52DEC" w:rsidP="00A52DEC">
      <w:pPr>
        <w:spacing w:after="0" w:line="240" w:lineRule="auto"/>
        <w:jc w:val="center"/>
        <w:rPr>
          <w:rFonts w:ascii="Calibri" w:hAnsi="Calibri" w:cs="Calibri"/>
          <w:color w:val="000000"/>
          <w:sz w:val="28"/>
          <w:szCs w:val="28"/>
          <w:lang w:val="en-US" w:eastAsia="ru-RU"/>
        </w:rPr>
      </w:pPr>
      <w:r w:rsidRPr="00A52DEC">
        <w:rPr>
          <w:rFonts w:ascii="Times New Roman" w:hAnsi="Times New Roman"/>
          <w:b/>
          <w:bCs/>
          <w:color w:val="000000"/>
          <w:sz w:val="28"/>
          <w:szCs w:val="28"/>
          <w:lang w:val="en-US" w:eastAsia="ru-RU"/>
        </w:rPr>
        <w:t>List of recommended reading</w:t>
      </w:r>
    </w:p>
    <w:p w:rsidR="00A52DEC" w:rsidRPr="00610AFA" w:rsidRDefault="00A52DEC" w:rsidP="00A52DEC">
      <w:pPr>
        <w:shd w:val="clear" w:color="auto" w:fill="FFFFFF"/>
        <w:spacing w:after="0" w:line="240" w:lineRule="auto"/>
        <w:jc w:val="center"/>
        <w:rPr>
          <w:rFonts w:ascii="Times New Roman" w:hAnsi="Times New Roman"/>
          <w:b/>
          <w:sz w:val="28"/>
          <w:szCs w:val="28"/>
          <w:lang w:val="en-US"/>
        </w:rPr>
      </w:pPr>
      <w:r w:rsidRPr="00610AFA">
        <w:rPr>
          <w:rFonts w:ascii="Times New Roman" w:hAnsi="Times New Roman"/>
          <w:b/>
          <w:sz w:val="28"/>
          <w:szCs w:val="28"/>
          <w:lang w:val="en-US"/>
        </w:rPr>
        <w:t>Main:</w:t>
      </w:r>
    </w:p>
    <w:p w:rsidR="00610AFA" w:rsidRDefault="00610AFA" w:rsidP="00A52DEC">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1. Біофармація : підруч. для студентів закл. вищ. освіти / О. І. Тихонов [та ін.] ; за ред. О. І. Тихонова. – 2-ге вид., перероб. і допов. – Харків : НФаУ: Золоті сторінки, 2019. – 224 с </w:t>
      </w:r>
    </w:p>
    <w:p w:rsidR="00610AFA" w:rsidRDefault="00610AFA" w:rsidP="00A52DEC">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610AFA" w:rsidRDefault="00610AFA" w:rsidP="00A52DEC">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610AFA" w:rsidRDefault="00610AFA" w:rsidP="00A52DEC">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A52DEC" w:rsidRPr="00610AFA" w:rsidRDefault="00610AFA" w:rsidP="00A52DEC">
      <w:pPr>
        <w:tabs>
          <w:tab w:val="left" w:pos="426"/>
          <w:tab w:val="left" w:pos="993"/>
        </w:tabs>
        <w:spacing w:after="0" w:line="240" w:lineRule="auto"/>
        <w:ind w:firstLine="567"/>
        <w:jc w:val="both"/>
        <w:rPr>
          <w:rFonts w:ascii="Times New Roman" w:hAnsi="Times New Roman"/>
          <w:color w:val="000000"/>
          <w:sz w:val="28"/>
          <w:szCs w:val="28"/>
          <w:lang w:val="uk-UA" w:eastAsia="ru-RU"/>
        </w:rPr>
      </w:pPr>
      <w:r w:rsidRPr="00610AFA">
        <w:rPr>
          <w:rFonts w:ascii="Times New Roman" w:hAnsi="Times New Roman"/>
          <w:sz w:val="28"/>
          <w:szCs w:val="28"/>
          <w:lang w:val="uk-UA"/>
        </w:rPr>
        <w:t>5. Сучасні фармацевтичні технології: навч. посіб. до лабораторних занять магістрантів денної, вечірньої та заочної форми навчання спеціальності 8.110201 «Фармація» / під ред. О.А. Рубан. – Х. : Вид-во НФаУ, 2016. – 256 с.</w:t>
      </w:r>
    </w:p>
    <w:p w:rsidR="00A52DEC" w:rsidRPr="00610AFA" w:rsidRDefault="00A52DEC" w:rsidP="00A52DEC">
      <w:pPr>
        <w:tabs>
          <w:tab w:val="left" w:pos="426"/>
          <w:tab w:val="left" w:pos="993"/>
        </w:tabs>
        <w:spacing w:after="0" w:line="240" w:lineRule="auto"/>
        <w:ind w:firstLine="567"/>
        <w:jc w:val="both"/>
        <w:rPr>
          <w:rFonts w:ascii="Times New Roman" w:hAnsi="Times New Roman"/>
          <w:color w:val="000000"/>
          <w:sz w:val="28"/>
          <w:szCs w:val="28"/>
          <w:lang w:val="uk-UA" w:eastAsia="ru-RU"/>
        </w:rPr>
      </w:pPr>
    </w:p>
    <w:p w:rsidR="00A52DEC" w:rsidRPr="00610AFA" w:rsidRDefault="00A52DEC" w:rsidP="00A52DEC">
      <w:pPr>
        <w:spacing w:after="0" w:line="240" w:lineRule="auto"/>
        <w:ind w:left="1287"/>
        <w:jc w:val="both"/>
        <w:rPr>
          <w:rFonts w:ascii="Calibri" w:hAnsi="Calibri" w:cs="Calibri"/>
          <w:color w:val="000000"/>
          <w:sz w:val="28"/>
          <w:szCs w:val="28"/>
          <w:lang w:val="uk-UA" w:eastAsia="ru-RU"/>
        </w:rPr>
      </w:pPr>
    </w:p>
    <w:p w:rsidR="00A52DEC" w:rsidRPr="00610AFA" w:rsidRDefault="00A52DEC" w:rsidP="00A52DEC">
      <w:pPr>
        <w:spacing w:after="0" w:line="240" w:lineRule="auto"/>
        <w:ind w:left="1287"/>
        <w:jc w:val="both"/>
        <w:rPr>
          <w:rFonts w:ascii="Calibri" w:hAnsi="Calibri" w:cs="Calibri"/>
          <w:color w:val="000000"/>
          <w:sz w:val="28"/>
          <w:szCs w:val="28"/>
          <w:lang w:val="uk-UA" w:eastAsia="ru-RU"/>
        </w:rPr>
      </w:pPr>
    </w:p>
    <w:p w:rsidR="00A52DEC" w:rsidRPr="00610AFA" w:rsidRDefault="00A52DEC" w:rsidP="00A52DEC">
      <w:pPr>
        <w:spacing w:after="0" w:line="240" w:lineRule="auto"/>
        <w:ind w:left="1287"/>
        <w:jc w:val="both"/>
        <w:rPr>
          <w:rFonts w:ascii="Calibri" w:hAnsi="Calibri" w:cs="Calibri"/>
          <w:color w:val="000000"/>
          <w:sz w:val="28"/>
          <w:szCs w:val="28"/>
          <w:lang w:val="uk-UA" w:eastAsia="ru-RU"/>
        </w:rPr>
      </w:pPr>
    </w:p>
    <w:p w:rsidR="00A52DEC" w:rsidRPr="00610AFA" w:rsidRDefault="00A52DEC" w:rsidP="00A52DEC">
      <w:pPr>
        <w:spacing w:after="0" w:line="240" w:lineRule="auto"/>
        <w:ind w:left="1287"/>
        <w:jc w:val="both"/>
        <w:rPr>
          <w:rFonts w:ascii="Calibri" w:hAnsi="Calibri" w:cs="Calibri"/>
          <w:color w:val="000000"/>
          <w:sz w:val="28"/>
          <w:szCs w:val="28"/>
          <w:lang w:val="uk-UA" w:eastAsia="ru-RU"/>
        </w:rPr>
      </w:pPr>
    </w:p>
    <w:p w:rsidR="005A2E5B" w:rsidRPr="00610AFA" w:rsidRDefault="005A2E5B" w:rsidP="00A52DEC">
      <w:pPr>
        <w:spacing w:after="0" w:line="240" w:lineRule="auto"/>
        <w:ind w:left="1287"/>
        <w:jc w:val="both"/>
        <w:rPr>
          <w:rFonts w:ascii="Calibri" w:hAnsi="Calibri" w:cs="Calibri"/>
          <w:color w:val="000000"/>
          <w:sz w:val="28"/>
          <w:szCs w:val="28"/>
          <w:lang w:val="uk-UA" w:eastAsia="ru-RU"/>
        </w:rPr>
      </w:pPr>
    </w:p>
    <w:sectPr w:rsidR="005A2E5B" w:rsidRPr="00610AFA" w:rsidSect="00A52DEC">
      <w:headerReference w:type="default" r:id="rId13"/>
      <w:footerReference w:type="default" r:id="rId14"/>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099E" w:rsidRDefault="00FE099E" w:rsidP="0050002F">
      <w:pPr>
        <w:spacing w:after="0" w:line="240" w:lineRule="auto"/>
      </w:pPr>
      <w:r>
        <w:separator/>
      </w:r>
    </w:p>
  </w:endnote>
  <w:endnote w:type="continuationSeparator" w:id="1">
    <w:p w:rsidR="00FE099E" w:rsidRDefault="00FE099E" w:rsidP="005000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02F" w:rsidRPr="009C0997" w:rsidRDefault="009C0997" w:rsidP="009C0997">
    <w:pPr>
      <w:pStyle w:val="a7"/>
      <w:ind w:firstLine="567"/>
      <w:jc w:val="both"/>
      <w:rPr>
        <w:i/>
        <w:lang w:val="en-US"/>
      </w:rPr>
    </w:pPr>
    <w:r w:rsidRPr="00345A8B">
      <w:rPr>
        <w:rFonts w:ascii="Times New Roman" w:hAnsi="Times New Roman"/>
        <w:i/>
        <w:sz w:val="24"/>
        <w:szCs w:val="24"/>
        <w:lang w:val="en-US"/>
      </w:rPr>
      <w:t xml:space="preserve">Methodical development of practices, OPP </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Pharmacy, industrial pharmacy», 5th year, Faculty of Pharmacy, Discipline: </w:t>
    </w:r>
    <w:r w:rsidRPr="00345A8B">
      <w:rPr>
        <w:rFonts w:ascii="Times New Roman" w:hAnsi="Times New Roman"/>
        <w:i/>
        <w:sz w:val="24"/>
        <w:szCs w:val="24"/>
        <w:lang w:val="uk-UA"/>
      </w:rPr>
      <w:t>«</w:t>
    </w:r>
    <w:r w:rsidRPr="00345A8B">
      <w:rPr>
        <w:rFonts w:ascii="Times New Roman" w:hAnsi="Times New Roman"/>
        <w:i/>
        <w:sz w:val="24"/>
        <w:szCs w:val="24"/>
        <w:lang w:val="en-US"/>
      </w:rPr>
      <w:t>Biopharmacy</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 p. </w:t>
    </w:r>
    <w:sdt>
      <w:sdtPr>
        <w:rPr>
          <w:i/>
        </w:rPr>
        <w:id w:val="-255985702"/>
      </w:sdtPr>
      <w:sdtContent>
        <w:r w:rsidR="00AA18D9" w:rsidRPr="00345A8B">
          <w:rPr>
            <w:i/>
          </w:rPr>
          <w:fldChar w:fldCharType="begin"/>
        </w:r>
        <w:r w:rsidRPr="00345A8B">
          <w:rPr>
            <w:i/>
            <w:lang w:val="en-US"/>
          </w:rPr>
          <w:instrText>PAGE   \* MERGEFORMAT</w:instrText>
        </w:r>
        <w:r w:rsidR="00AA18D9" w:rsidRPr="00345A8B">
          <w:rPr>
            <w:i/>
          </w:rPr>
          <w:fldChar w:fldCharType="separate"/>
        </w:r>
        <w:r w:rsidR="00610AFA">
          <w:rPr>
            <w:i/>
            <w:noProof/>
            <w:lang w:val="en-US"/>
          </w:rPr>
          <w:t>12</w:t>
        </w:r>
        <w:r w:rsidR="00AA18D9" w:rsidRPr="00345A8B">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099E" w:rsidRDefault="00FE099E" w:rsidP="0050002F">
      <w:pPr>
        <w:spacing w:after="0" w:line="240" w:lineRule="auto"/>
      </w:pPr>
      <w:r>
        <w:separator/>
      </w:r>
    </w:p>
  </w:footnote>
  <w:footnote w:type="continuationSeparator" w:id="1">
    <w:p w:rsidR="00FE099E" w:rsidRDefault="00FE099E" w:rsidP="005000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02F" w:rsidRPr="0050002F" w:rsidRDefault="0050002F" w:rsidP="0050002F">
    <w:pPr>
      <w:spacing w:after="0" w:line="322" w:lineRule="atLeast"/>
      <w:jc w:val="both"/>
      <w:rPr>
        <w:rFonts w:ascii="Times New Roman" w:hAnsi="Times New Roman"/>
        <w:i/>
        <w:color w:val="000000"/>
        <w:sz w:val="24"/>
        <w:szCs w:val="24"/>
        <w:lang w:eastAsia="ru-RU"/>
      </w:rPr>
    </w:pPr>
    <w:r w:rsidRPr="00AE3814">
      <w:rPr>
        <w:rFonts w:ascii="Times New Roman" w:hAnsi="Times New Roman"/>
        <w:i/>
        <w:sz w:val="24"/>
        <w:szCs w:val="24"/>
        <w:lang w:val="en-US"/>
      </w:rPr>
      <w:t>ONMedU, Department</w:t>
    </w:r>
    <w:r>
      <w:rPr>
        <w:rFonts w:ascii="Times New Roman" w:hAnsi="Times New Roman"/>
        <w:i/>
        <w:sz w:val="24"/>
        <w:szCs w:val="24"/>
        <w:lang w:val="en-US"/>
      </w:rPr>
      <w:t xml:space="preserve"> of Drug</w:t>
    </w:r>
    <w:r w:rsidR="00260864">
      <w:rPr>
        <w:rFonts w:ascii="Times New Roman" w:hAnsi="Times New Roman"/>
        <w:i/>
        <w:sz w:val="24"/>
        <w:szCs w:val="24"/>
        <w:lang w:val="en-US"/>
      </w:rPr>
      <w:t>s</w:t>
    </w:r>
    <w:r>
      <w:rPr>
        <w:rFonts w:ascii="Times New Roman" w:hAnsi="Times New Roman"/>
        <w:i/>
        <w:sz w:val="24"/>
        <w:szCs w:val="24"/>
        <w:lang w:val="en-US"/>
      </w:rPr>
      <w:t xml:space="preserve"> Technology Practice №9</w:t>
    </w:r>
    <w:r w:rsidRPr="00AE3814">
      <w:rPr>
        <w:rFonts w:ascii="Times New Roman" w:hAnsi="Times New Roman"/>
        <w:i/>
        <w:sz w:val="24"/>
        <w:szCs w:val="24"/>
        <w:lang w:val="en-US"/>
      </w:rPr>
      <w:t xml:space="preserve">. </w:t>
    </w:r>
    <w:r w:rsidRPr="0050002F">
      <w:rPr>
        <w:rFonts w:ascii="Times New Roman" w:hAnsi="Times New Roman"/>
        <w:i/>
        <w:color w:val="000000"/>
        <w:sz w:val="24"/>
        <w:szCs w:val="24"/>
        <w:lang w:val="en-US" w:eastAsia="ru-RU"/>
      </w:rPr>
      <w:t>«</w:t>
    </w:r>
    <w:r w:rsidRPr="0050002F">
      <w:rPr>
        <w:rFonts w:ascii="Times New Roman" w:hAnsi="Times New Roman"/>
        <w:bCs/>
        <w:i/>
        <w:color w:val="000000"/>
        <w:sz w:val="24"/>
        <w:szCs w:val="24"/>
        <w:lang w:val="en-US" w:eastAsia="ru-RU"/>
      </w:rPr>
      <w:t>Bioavailability of drugs. Absolute, relative bioavailability. Classification of factors influencing the bioavailability of drugs.</w:t>
    </w:r>
    <w:r w:rsidRPr="0050002F">
      <w:rPr>
        <w:rFonts w:ascii="Times New Roman" w:hAnsi="Times New Roman"/>
        <w:bCs/>
        <w:i/>
        <w:color w:val="000000"/>
        <w:sz w:val="24"/>
        <w:szCs w:val="24"/>
        <w:lang w:eastAsia="ru-RU"/>
      </w:rPr>
      <w:t>»</w:t>
    </w:r>
  </w:p>
  <w:p w:rsidR="0050002F" w:rsidRPr="0050002F" w:rsidRDefault="0050002F" w:rsidP="0050002F">
    <w:pPr>
      <w:pStyle w:val="a5"/>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96890"/>
    <w:multiLevelType w:val="multilevel"/>
    <w:tmpl w:val="4552DC7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486D3EEA"/>
    <w:multiLevelType w:val="multilevel"/>
    <w:tmpl w:val="9F4CB75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A52DEC"/>
    <w:rsid w:val="0000014B"/>
    <w:rsid w:val="00260864"/>
    <w:rsid w:val="00285626"/>
    <w:rsid w:val="00304D9F"/>
    <w:rsid w:val="00343D88"/>
    <w:rsid w:val="00463B39"/>
    <w:rsid w:val="004746A7"/>
    <w:rsid w:val="00483D16"/>
    <w:rsid w:val="0050002F"/>
    <w:rsid w:val="00565FBB"/>
    <w:rsid w:val="005A2E5B"/>
    <w:rsid w:val="00610AFA"/>
    <w:rsid w:val="0068526F"/>
    <w:rsid w:val="0079409E"/>
    <w:rsid w:val="007A659A"/>
    <w:rsid w:val="0081386A"/>
    <w:rsid w:val="009C0997"/>
    <w:rsid w:val="00A52DEC"/>
    <w:rsid w:val="00AA18D9"/>
    <w:rsid w:val="00AC721F"/>
    <w:rsid w:val="00AD7031"/>
    <w:rsid w:val="00B10AA3"/>
    <w:rsid w:val="00B31BC4"/>
    <w:rsid w:val="00B72CBF"/>
    <w:rsid w:val="00BD5863"/>
    <w:rsid w:val="00F85852"/>
    <w:rsid w:val="00FE09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rules v:ext="edit">
        <o:r id="V:Rule1" type="connector" idref="#Соединительная линия уступом 39"/>
        <o:r id="V:Rule2" type="connector" idref="#Прямая со стрелкой 43"/>
        <o:r id="V:Rule3" type="connector" idref="#Прямая со стрелкой 46"/>
        <o:r id="V:Rule4" type="connector" idref="#Прямая со стрелкой 47"/>
        <o:r id="V:Rule5" type="connector" idref="#Прямая со стрелкой 49"/>
        <o:r id="V:Rule6" type="connector" idref="#Прямая со стрелкой 51"/>
        <o:r id="V:Rule7" type="connector" idref="#Прямая со стрелкой 58"/>
        <o:r id="V:Rule8" type="connector" idref="#Прямая со стрелкой 59"/>
        <o:r id="V:Rule9" type="connector" idref="#Прямая со стрелкой 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8D9"/>
    <w:rPr>
      <w:rFonts w:cs="Times New Roman"/>
    </w:rPr>
  </w:style>
  <w:style w:type="paragraph" w:styleId="5">
    <w:name w:val="heading 5"/>
    <w:basedOn w:val="a"/>
    <w:link w:val="50"/>
    <w:uiPriority w:val="9"/>
    <w:qFormat/>
    <w:rsid w:val="00A52DEC"/>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A52DEC"/>
    <w:rPr>
      <w:rFonts w:ascii="Times New Roman" w:hAnsi="Times New Roman" w:cs="Times New Roman"/>
      <w:b/>
      <w:bCs/>
      <w:sz w:val="20"/>
      <w:szCs w:val="20"/>
      <w:lang w:eastAsia="ru-RU"/>
    </w:rPr>
  </w:style>
  <w:style w:type="paragraph" w:styleId="a3">
    <w:name w:val="Normal (Web)"/>
    <w:basedOn w:val="a"/>
    <w:uiPriority w:val="99"/>
    <w:semiHidden/>
    <w:unhideWhenUsed/>
    <w:rsid w:val="00A52DEC"/>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A52DEC"/>
    <w:pPr>
      <w:ind w:left="720"/>
      <w:contextualSpacing/>
    </w:pPr>
    <w:rPr>
      <w:rFonts w:eastAsiaTheme="minorEastAsia"/>
      <w:lang w:eastAsia="ru-RU"/>
    </w:rPr>
  </w:style>
  <w:style w:type="paragraph" w:styleId="a5">
    <w:name w:val="header"/>
    <w:basedOn w:val="a"/>
    <w:link w:val="a6"/>
    <w:uiPriority w:val="99"/>
    <w:unhideWhenUsed/>
    <w:rsid w:val="0050002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0002F"/>
    <w:rPr>
      <w:rFonts w:cs="Times New Roman"/>
    </w:rPr>
  </w:style>
  <w:style w:type="paragraph" w:styleId="a7">
    <w:name w:val="footer"/>
    <w:basedOn w:val="a"/>
    <w:link w:val="a8"/>
    <w:uiPriority w:val="99"/>
    <w:unhideWhenUsed/>
    <w:rsid w:val="0050002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0002F"/>
    <w:rPr>
      <w:rFonts w:cs="Times New Roman"/>
    </w:rPr>
  </w:style>
  <w:style w:type="paragraph" w:styleId="a9">
    <w:name w:val="Balloon Text"/>
    <w:basedOn w:val="a"/>
    <w:link w:val="aa"/>
    <w:uiPriority w:val="99"/>
    <w:semiHidden/>
    <w:unhideWhenUsed/>
    <w:rsid w:val="009C0997"/>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C099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9529018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3191</Words>
  <Characters>18190</Characters>
  <Application>Microsoft Office Word</Application>
  <DocSecurity>0</DocSecurity>
  <Lines>151</Lines>
  <Paragraphs>42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21339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9</cp:revision>
  <cp:lastPrinted>2022-02-16T15:00:00Z</cp:lastPrinted>
  <dcterms:created xsi:type="dcterms:W3CDTF">2021-10-20T05:37:00Z</dcterms:created>
  <dcterms:modified xsi:type="dcterms:W3CDTF">2023-02-02T17:00:00Z</dcterms:modified>
</cp:coreProperties>
</file>