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5DE" w:rsidRPr="007005DE" w:rsidRDefault="007005DE" w:rsidP="007005DE">
      <w:pPr>
        <w:spacing w:after="0" w:line="240" w:lineRule="auto"/>
        <w:jc w:val="center"/>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ODESSA NATIONAL MEDICAL UNIVERSITY</w:t>
      </w:r>
    </w:p>
    <w:p w:rsidR="007005DE" w:rsidRPr="007005DE" w:rsidRDefault="007005DE" w:rsidP="007005DE">
      <w:pPr>
        <w:spacing w:after="0" w:line="240" w:lineRule="auto"/>
        <w:jc w:val="center"/>
        <w:outlineLvl w:val="4"/>
        <w:rPr>
          <w:rFonts w:ascii="Calibri" w:eastAsia="Times New Roman" w:hAnsi="Calibri" w:cs="Calibri"/>
          <w:b/>
          <w:bCs/>
          <w:color w:val="000000"/>
          <w:sz w:val="28"/>
          <w:szCs w:val="28"/>
          <w:lang w:val="en-US" w:eastAsia="ru-RU"/>
        </w:rPr>
      </w:pPr>
      <w:r w:rsidRPr="007005DE">
        <w:rPr>
          <w:rFonts w:ascii="Times New Roman" w:eastAsia="Times New Roman" w:hAnsi="Times New Roman" w:cs="Times New Roman"/>
          <w:b/>
          <w:bCs/>
          <w:caps/>
          <w:color w:val="000000"/>
          <w:sz w:val="28"/>
          <w:szCs w:val="28"/>
          <w:lang w:val="en-US" w:eastAsia="ru-RU"/>
        </w:rPr>
        <w:t xml:space="preserve">DEPARTMENT OF </w:t>
      </w:r>
      <w:r>
        <w:rPr>
          <w:rFonts w:ascii="Times New Roman" w:eastAsia="Times New Roman" w:hAnsi="Times New Roman" w:cs="Times New Roman"/>
          <w:b/>
          <w:bCs/>
          <w:caps/>
          <w:color w:val="000000"/>
          <w:sz w:val="28"/>
          <w:szCs w:val="28"/>
          <w:lang w:val="en-US" w:eastAsia="ru-RU"/>
        </w:rPr>
        <w:t>RUGS</w:t>
      </w:r>
      <w:r w:rsidRPr="007005DE">
        <w:rPr>
          <w:rFonts w:ascii="Times New Roman" w:eastAsia="Times New Roman" w:hAnsi="Times New Roman" w:cs="Times New Roman"/>
          <w:b/>
          <w:bCs/>
          <w:caps/>
          <w:color w:val="000000"/>
          <w:sz w:val="28"/>
          <w:szCs w:val="28"/>
          <w:lang w:val="en-US" w:eastAsia="ru-RU"/>
        </w:rPr>
        <w:t>TECHNOLOGY</w:t>
      </w:r>
    </w:p>
    <w:p w:rsidR="007005DE" w:rsidRPr="007005DE" w:rsidRDefault="007005DE" w:rsidP="007005DE">
      <w:pPr>
        <w:spacing w:after="0" w:line="240" w:lineRule="auto"/>
        <w:jc w:val="center"/>
        <w:rPr>
          <w:rFonts w:ascii="Calibri" w:eastAsia="Times New Roman" w:hAnsi="Calibri" w:cs="Calibri"/>
          <w:color w:val="000000"/>
          <w:sz w:val="28"/>
          <w:szCs w:val="28"/>
          <w:lang w:val="en-US" w:eastAsia="ru-RU"/>
        </w:rPr>
      </w:pPr>
    </w:p>
    <w:p w:rsidR="008E2D16" w:rsidRPr="005A59BB" w:rsidRDefault="008E2D16" w:rsidP="008E2D16">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8E2D16" w:rsidRPr="005A59BB" w:rsidRDefault="008E2D16" w:rsidP="008E2D16">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8E2D16" w:rsidRPr="005A59BB" w:rsidRDefault="00D9270C" w:rsidP="008E2D16">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8E2D16" w:rsidRPr="005A59BB">
        <w:rPr>
          <w:rFonts w:ascii="Times New Roman" w:hAnsi="Times New Roman"/>
          <w:color w:val="000000"/>
          <w:sz w:val="28"/>
          <w:szCs w:val="28"/>
          <w:lang w:val="en-US" w:eastAsia="ru-RU"/>
        </w:rPr>
        <w:t>(BorisyukI.Yu.)</w:t>
      </w:r>
    </w:p>
    <w:p w:rsidR="008E2D16" w:rsidRPr="005A59BB" w:rsidRDefault="008E2D16" w:rsidP="008E2D16">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8E2D16" w:rsidRPr="005A59BB" w:rsidRDefault="00FB5CAB" w:rsidP="008E2D16">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8E2D16" w:rsidRPr="005A59BB">
        <w:rPr>
          <w:rFonts w:ascii="Times New Roman" w:hAnsi="Times New Roman"/>
          <w:color w:val="000000"/>
          <w:sz w:val="28"/>
          <w:szCs w:val="28"/>
          <w:lang w:val="en-US" w:eastAsia="ru-RU"/>
        </w:rPr>
        <w:t>»</w:t>
      </w:r>
      <w:r w:rsidR="008E2D16">
        <w:rPr>
          <w:rFonts w:ascii="Times New Roman" w:hAnsi="Times New Roman"/>
          <w:color w:val="000000"/>
          <w:sz w:val="28"/>
          <w:szCs w:val="28"/>
          <w:lang w:val="en-US" w:eastAsia="ru-RU"/>
        </w:rPr>
        <w:t xml:space="preserve"> a</w:t>
      </w:r>
      <w:r w:rsidR="008E2D16"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8E2D16">
        <w:rPr>
          <w:rFonts w:ascii="Times New Roman" w:hAnsi="Times New Roman"/>
          <w:color w:val="000000"/>
          <w:sz w:val="28"/>
          <w:szCs w:val="28"/>
          <w:lang w:val="en-US" w:eastAsia="ru-RU"/>
        </w:rPr>
        <w:t xml:space="preserve"> y.</w:t>
      </w:r>
    </w:p>
    <w:p w:rsidR="007005DE" w:rsidRPr="007005DE" w:rsidRDefault="007005DE" w:rsidP="007005DE">
      <w:pPr>
        <w:spacing w:after="0" w:line="240" w:lineRule="auto"/>
        <w:rPr>
          <w:rFonts w:ascii="Calibri" w:eastAsia="Times New Roman" w:hAnsi="Calibri" w:cs="Calibri"/>
          <w:color w:val="000000"/>
          <w:sz w:val="28"/>
          <w:szCs w:val="28"/>
          <w:lang w:val="en-US" w:eastAsia="ru-RU"/>
        </w:rPr>
      </w:pPr>
    </w:p>
    <w:p w:rsidR="007005DE" w:rsidRPr="007005DE" w:rsidRDefault="007005DE" w:rsidP="007005DE">
      <w:pPr>
        <w:spacing w:after="0" w:line="240" w:lineRule="auto"/>
        <w:rPr>
          <w:rFonts w:ascii="Calibri" w:eastAsia="Times New Roman" w:hAnsi="Calibri" w:cs="Calibri"/>
          <w:color w:val="000000"/>
          <w:sz w:val="28"/>
          <w:szCs w:val="28"/>
          <w:lang w:val="en-US" w:eastAsia="ru-RU"/>
        </w:rPr>
      </w:pPr>
    </w:p>
    <w:p w:rsidR="007005DE" w:rsidRPr="007005DE" w:rsidRDefault="007005DE" w:rsidP="007005DE">
      <w:pPr>
        <w:spacing w:after="0" w:line="322" w:lineRule="atLeast"/>
        <w:jc w:val="center"/>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METHODICAL DEVELOPMENT OF PRACTICAL LESSON</w:t>
      </w:r>
    </w:p>
    <w:p w:rsidR="007005DE" w:rsidRPr="007005DE" w:rsidRDefault="007005DE" w:rsidP="007005DE">
      <w:pPr>
        <w:spacing w:after="0" w:line="322" w:lineRule="atLeast"/>
        <w:jc w:val="both"/>
        <w:rPr>
          <w:rFonts w:ascii="Calibri" w:eastAsia="Times New Roman" w:hAnsi="Calibri" w:cs="Calibri"/>
          <w:color w:val="000000"/>
          <w:sz w:val="28"/>
          <w:szCs w:val="28"/>
          <w:lang w:val="en-US" w:eastAsia="ru-RU"/>
        </w:rPr>
      </w:pPr>
    </w:p>
    <w:p w:rsidR="007005DE" w:rsidRPr="007005DE" w:rsidRDefault="007005DE" w:rsidP="007005DE">
      <w:pPr>
        <w:spacing w:after="0" w:line="322" w:lineRule="atLeast"/>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 xml:space="preserve">Course: </w:t>
      </w:r>
      <w:r w:rsidRPr="007005DE">
        <w:rPr>
          <w:rFonts w:ascii="Times New Roman" w:eastAsia="Times New Roman" w:hAnsi="Times New Roman" w:cs="Times New Roman"/>
          <w:color w:val="000000"/>
          <w:sz w:val="28"/>
          <w:szCs w:val="28"/>
          <w:u w:val="single"/>
          <w:lang w:val="en-US" w:eastAsia="ru-RU"/>
        </w:rPr>
        <w:t>5</w:t>
      </w:r>
      <w:r w:rsidRPr="007005DE">
        <w:rPr>
          <w:rFonts w:ascii="Times New Roman" w:eastAsia="Times New Roman" w:hAnsi="Times New Roman" w:cs="Times New Roman"/>
          <w:color w:val="000000"/>
          <w:sz w:val="28"/>
          <w:szCs w:val="28"/>
          <w:lang w:val="en-US" w:eastAsia="ru-RU"/>
        </w:rPr>
        <w:t xml:space="preserve">Faculty: </w:t>
      </w:r>
      <w:r w:rsidRPr="007005DE">
        <w:rPr>
          <w:rFonts w:ascii="Times New Roman" w:eastAsia="Times New Roman" w:hAnsi="Times New Roman" w:cs="Times New Roman"/>
          <w:color w:val="000000"/>
          <w:sz w:val="28"/>
          <w:szCs w:val="28"/>
          <w:u w:val="single"/>
          <w:lang w:val="en-US" w:eastAsia="ru-RU"/>
        </w:rPr>
        <w:t>Pharmaceutical</w:t>
      </w:r>
    </w:p>
    <w:p w:rsidR="007005DE" w:rsidRPr="007005DE" w:rsidRDefault="007005DE" w:rsidP="007005DE">
      <w:pPr>
        <w:spacing w:after="0" w:line="322" w:lineRule="atLeast"/>
        <w:jc w:val="center"/>
        <w:rPr>
          <w:rFonts w:ascii="Calibri" w:eastAsia="Times New Roman" w:hAnsi="Calibri" w:cs="Calibri"/>
          <w:color w:val="000000"/>
          <w:sz w:val="28"/>
          <w:szCs w:val="28"/>
          <w:lang w:val="en-US" w:eastAsia="ru-RU"/>
        </w:rPr>
      </w:pPr>
    </w:p>
    <w:p w:rsidR="007005DE" w:rsidRPr="007005DE" w:rsidRDefault="007005DE" w:rsidP="007005DE">
      <w:pPr>
        <w:spacing w:after="0" w:line="322" w:lineRule="atLeast"/>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Course: Biopharmacy</w:t>
      </w:r>
    </w:p>
    <w:p w:rsidR="007005DE" w:rsidRPr="007005DE" w:rsidRDefault="007005DE" w:rsidP="007005DE">
      <w:pPr>
        <w:spacing w:after="0" w:line="322" w:lineRule="atLeast"/>
        <w:jc w:val="both"/>
        <w:rPr>
          <w:rFonts w:ascii="Calibri" w:eastAsia="Times New Roman" w:hAnsi="Calibri" w:cs="Calibri"/>
          <w:color w:val="000000"/>
          <w:sz w:val="28"/>
          <w:szCs w:val="28"/>
          <w:lang w:val="en-US" w:eastAsia="ru-RU"/>
        </w:rPr>
      </w:pPr>
    </w:p>
    <w:p w:rsidR="007005DE" w:rsidRPr="008E2D16" w:rsidRDefault="008E2D16" w:rsidP="007005DE">
      <w:pPr>
        <w:spacing w:after="0" w:line="322" w:lineRule="atLeast"/>
        <w:jc w:val="both"/>
        <w:rPr>
          <w:rFonts w:ascii="Calibri" w:eastAsia="Times New Roman" w:hAnsi="Calibri" w:cs="Calibri"/>
          <w:color w:val="000000"/>
          <w:sz w:val="28"/>
          <w:szCs w:val="28"/>
          <w:lang w:val="uk-UA" w:eastAsia="ru-RU"/>
        </w:rPr>
      </w:pPr>
      <w:r>
        <w:rPr>
          <w:rFonts w:ascii="Times New Roman" w:eastAsia="Times New Roman" w:hAnsi="Times New Roman" w:cs="Times New Roman"/>
          <w:color w:val="000000"/>
          <w:sz w:val="28"/>
          <w:szCs w:val="28"/>
          <w:lang w:val="en-US" w:eastAsia="ru-RU"/>
        </w:rPr>
        <w:t xml:space="preserve">Practical lesson №12 Topic: </w:t>
      </w:r>
      <w:r>
        <w:rPr>
          <w:rFonts w:ascii="Times New Roman" w:eastAsia="Times New Roman" w:hAnsi="Times New Roman" w:cs="Times New Roman"/>
          <w:color w:val="000000"/>
          <w:sz w:val="28"/>
          <w:szCs w:val="28"/>
          <w:lang w:val="uk-UA" w:eastAsia="ru-RU"/>
        </w:rPr>
        <w:t>«</w:t>
      </w:r>
      <w:r w:rsidR="007005DE" w:rsidRPr="007005DE">
        <w:rPr>
          <w:rFonts w:ascii="Times New Roman" w:eastAsia="Times New Roman" w:hAnsi="Times New Roman" w:cs="Times New Roman"/>
          <w:b/>
          <w:bCs/>
          <w:color w:val="000000"/>
          <w:sz w:val="28"/>
          <w:szCs w:val="28"/>
          <w:lang w:val="en-US" w:eastAsia="ru-RU"/>
        </w:rPr>
        <w:t>Lipophilicity and its impact on pharmacokinetic characteristics and dynam</w:t>
      </w:r>
      <w:r>
        <w:rPr>
          <w:rFonts w:ascii="Times New Roman" w:eastAsia="Times New Roman" w:hAnsi="Times New Roman" w:cs="Times New Roman"/>
          <w:b/>
          <w:bCs/>
          <w:color w:val="000000"/>
          <w:sz w:val="28"/>
          <w:szCs w:val="28"/>
          <w:lang w:val="en-US" w:eastAsia="ru-RU"/>
        </w:rPr>
        <w:t>ics of bioavailability of drugs.</w:t>
      </w:r>
      <w:r>
        <w:rPr>
          <w:rFonts w:ascii="Times New Roman" w:eastAsia="Times New Roman" w:hAnsi="Times New Roman" w:cs="Times New Roman"/>
          <w:b/>
          <w:bCs/>
          <w:color w:val="000000"/>
          <w:sz w:val="28"/>
          <w:szCs w:val="28"/>
          <w:lang w:val="uk-UA" w:eastAsia="ru-RU"/>
        </w:rPr>
        <w:t>»</w:t>
      </w:r>
    </w:p>
    <w:p w:rsidR="007005DE" w:rsidRPr="007005DE" w:rsidRDefault="007005DE" w:rsidP="007005DE">
      <w:pPr>
        <w:spacing w:after="0" w:line="240" w:lineRule="auto"/>
        <w:jc w:val="both"/>
        <w:rPr>
          <w:rFonts w:ascii="Calibri" w:eastAsia="Times New Roman" w:hAnsi="Calibri" w:cs="Calibri"/>
          <w:color w:val="000000"/>
          <w:sz w:val="28"/>
          <w:szCs w:val="28"/>
          <w:lang w:val="en-US" w:eastAsia="ru-RU"/>
        </w:rPr>
      </w:pPr>
    </w:p>
    <w:p w:rsidR="007005DE" w:rsidRPr="007005DE" w:rsidRDefault="007005DE" w:rsidP="007005DE">
      <w:pPr>
        <w:spacing w:after="0" w:line="240" w:lineRule="auto"/>
        <w:rPr>
          <w:rFonts w:ascii="Calibri" w:eastAsia="Times New Roman" w:hAnsi="Calibri" w:cs="Calibri"/>
          <w:color w:val="000000"/>
          <w:sz w:val="28"/>
          <w:szCs w:val="28"/>
          <w:lang w:val="en-US" w:eastAsia="ru-RU"/>
        </w:rPr>
      </w:pPr>
    </w:p>
    <w:p w:rsidR="007005DE" w:rsidRPr="007005DE" w:rsidRDefault="007005DE" w:rsidP="007005DE">
      <w:pPr>
        <w:spacing w:after="0" w:line="240" w:lineRule="auto"/>
        <w:rPr>
          <w:rFonts w:ascii="Calibri" w:eastAsia="Times New Roman" w:hAnsi="Calibri" w:cs="Calibri"/>
          <w:color w:val="000000"/>
          <w:sz w:val="28"/>
          <w:szCs w:val="28"/>
          <w:lang w:val="en-US" w:eastAsia="ru-RU"/>
        </w:rPr>
      </w:pPr>
    </w:p>
    <w:p w:rsidR="007005DE" w:rsidRPr="007005DE" w:rsidRDefault="007005DE" w:rsidP="007005DE">
      <w:pPr>
        <w:spacing w:after="0" w:line="240" w:lineRule="auto"/>
        <w:jc w:val="center"/>
        <w:rPr>
          <w:rFonts w:ascii="Calibri" w:eastAsia="Times New Roman" w:hAnsi="Calibri" w:cs="Calibri"/>
          <w:color w:val="000000"/>
          <w:sz w:val="28"/>
          <w:szCs w:val="28"/>
          <w:lang w:val="en-US" w:eastAsia="ru-RU"/>
        </w:rPr>
      </w:pPr>
    </w:p>
    <w:p w:rsidR="008E2D16" w:rsidRPr="003160BA" w:rsidRDefault="008E2D16" w:rsidP="008E2D16">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8E2D16" w:rsidRPr="005A59BB" w:rsidRDefault="008E2D16" w:rsidP="008E2D16">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8E2D16" w:rsidRPr="005A59BB" w:rsidRDefault="00D9270C" w:rsidP="008E2D16">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8E2D16">
        <w:rPr>
          <w:rFonts w:ascii="Times New Roman" w:hAnsi="Times New Roman"/>
          <w:color w:val="000000"/>
          <w:sz w:val="28"/>
          <w:szCs w:val="28"/>
          <w:lang w:val="en-US" w:eastAsia="ru-RU"/>
        </w:rPr>
        <w:t>(Fizor. N.S.</w:t>
      </w:r>
      <w:r w:rsidR="008E2D16" w:rsidRPr="005A59BB">
        <w:rPr>
          <w:rFonts w:ascii="Times New Roman" w:hAnsi="Times New Roman"/>
          <w:color w:val="000000"/>
          <w:sz w:val="28"/>
          <w:szCs w:val="28"/>
          <w:lang w:val="en-US" w:eastAsia="ru-RU"/>
        </w:rPr>
        <w:t>)</w:t>
      </w:r>
    </w:p>
    <w:p w:rsidR="008E2D16" w:rsidRPr="005A59BB" w:rsidRDefault="008E2D16" w:rsidP="008E2D16">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8E2D16" w:rsidRPr="003160BA" w:rsidRDefault="008E2D16" w:rsidP="008E2D16">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8E2D16" w:rsidRPr="005A59BB" w:rsidRDefault="00FB5CAB" w:rsidP="008E2D16">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8E2D16" w:rsidRPr="005A59BB">
        <w:rPr>
          <w:rFonts w:ascii="Times New Roman" w:hAnsi="Times New Roman"/>
          <w:color w:val="000000"/>
          <w:sz w:val="28"/>
          <w:szCs w:val="28"/>
          <w:lang w:val="en-US" w:eastAsia="ru-RU"/>
        </w:rPr>
        <w:t>»</w:t>
      </w:r>
      <w:r w:rsidR="008E2D16">
        <w:rPr>
          <w:rFonts w:ascii="Times New Roman" w:hAnsi="Times New Roman"/>
          <w:color w:val="000000"/>
          <w:sz w:val="28"/>
          <w:szCs w:val="28"/>
          <w:lang w:val="en-US" w:eastAsia="ru-RU"/>
        </w:rPr>
        <w:t xml:space="preserve"> a</w:t>
      </w:r>
      <w:r w:rsidR="008E2D16"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8E2D16">
        <w:rPr>
          <w:rFonts w:ascii="Times New Roman" w:hAnsi="Times New Roman"/>
          <w:color w:val="000000"/>
          <w:sz w:val="28"/>
          <w:szCs w:val="28"/>
          <w:lang w:val="en-US" w:eastAsia="ru-RU"/>
        </w:rPr>
        <w:t xml:space="preserve"> y.</w:t>
      </w:r>
    </w:p>
    <w:p w:rsidR="008E2D16" w:rsidRPr="003160BA" w:rsidRDefault="008E2D16" w:rsidP="008E2D16">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7005DE" w:rsidRPr="007005DE" w:rsidRDefault="007005DE" w:rsidP="007005DE">
      <w:pPr>
        <w:spacing w:after="0" w:line="240" w:lineRule="auto"/>
        <w:ind w:firstLine="5103"/>
        <w:jc w:val="both"/>
        <w:rPr>
          <w:rFonts w:ascii="Calibri" w:eastAsia="Times New Roman" w:hAnsi="Calibri" w:cs="Calibri"/>
          <w:color w:val="000000"/>
          <w:sz w:val="28"/>
          <w:szCs w:val="28"/>
          <w:lang w:val="en-US" w:eastAsia="ru-RU"/>
        </w:rPr>
      </w:pPr>
    </w:p>
    <w:p w:rsidR="007005DE" w:rsidRPr="007005DE" w:rsidRDefault="007005DE" w:rsidP="007005DE">
      <w:pPr>
        <w:spacing w:after="0" w:line="240" w:lineRule="auto"/>
        <w:ind w:firstLine="5812"/>
        <w:jc w:val="both"/>
        <w:rPr>
          <w:rFonts w:ascii="Calibri" w:eastAsia="Times New Roman" w:hAnsi="Calibri" w:cs="Calibri"/>
          <w:color w:val="000000"/>
          <w:sz w:val="28"/>
          <w:szCs w:val="28"/>
          <w:lang w:val="en-US" w:eastAsia="ru-RU"/>
        </w:rPr>
      </w:pPr>
    </w:p>
    <w:p w:rsidR="007005DE" w:rsidRPr="007005DE" w:rsidRDefault="007005DE" w:rsidP="007005DE">
      <w:pPr>
        <w:spacing w:after="0" w:line="240" w:lineRule="auto"/>
        <w:ind w:firstLine="5812"/>
        <w:jc w:val="both"/>
        <w:rPr>
          <w:rFonts w:ascii="Calibri" w:eastAsia="Times New Roman" w:hAnsi="Calibri" w:cs="Calibri"/>
          <w:color w:val="000000"/>
          <w:sz w:val="28"/>
          <w:szCs w:val="28"/>
          <w:lang w:val="en-US" w:eastAsia="ru-RU"/>
        </w:rPr>
      </w:pPr>
    </w:p>
    <w:p w:rsidR="007005DE" w:rsidRPr="007005DE" w:rsidRDefault="007005DE" w:rsidP="007005DE">
      <w:pPr>
        <w:spacing w:after="0" w:line="240" w:lineRule="auto"/>
        <w:ind w:firstLine="5812"/>
        <w:jc w:val="both"/>
        <w:rPr>
          <w:rFonts w:ascii="Calibri" w:eastAsia="Times New Roman" w:hAnsi="Calibri" w:cs="Calibri"/>
          <w:color w:val="000000"/>
          <w:sz w:val="28"/>
          <w:szCs w:val="28"/>
          <w:lang w:val="en-US" w:eastAsia="ru-RU"/>
        </w:rPr>
      </w:pPr>
    </w:p>
    <w:p w:rsidR="007005DE" w:rsidRPr="007005DE" w:rsidRDefault="007005DE" w:rsidP="007005DE">
      <w:pPr>
        <w:spacing w:after="0" w:line="240" w:lineRule="auto"/>
        <w:ind w:firstLine="5812"/>
        <w:jc w:val="both"/>
        <w:rPr>
          <w:rFonts w:ascii="Calibri" w:eastAsia="Times New Roman" w:hAnsi="Calibri" w:cs="Calibri"/>
          <w:color w:val="000000"/>
          <w:sz w:val="28"/>
          <w:szCs w:val="28"/>
          <w:lang w:val="en-US" w:eastAsia="ru-RU"/>
        </w:rPr>
      </w:pPr>
    </w:p>
    <w:p w:rsidR="007005DE" w:rsidRPr="007005DE" w:rsidRDefault="007005DE" w:rsidP="00D9270C">
      <w:pPr>
        <w:spacing w:after="0" w:line="240" w:lineRule="auto"/>
        <w:ind w:firstLine="5812"/>
        <w:jc w:val="both"/>
        <w:rPr>
          <w:rFonts w:ascii="Calibri" w:eastAsia="Times New Roman" w:hAnsi="Calibri" w:cs="Calibri"/>
          <w:color w:val="000000"/>
          <w:sz w:val="28"/>
          <w:szCs w:val="28"/>
          <w:lang w:val="en-US" w:eastAsia="ru-RU"/>
        </w:rPr>
      </w:pPr>
    </w:p>
    <w:p w:rsidR="007005DE" w:rsidRDefault="007005DE" w:rsidP="007005DE">
      <w:pPr>
        <w:spacing w:after="0" w:line="240" w:lineRule="auto"/>
        <w:jc w:val="both"/>
        <w:rPr>
          <w:rFonts w:ascii="Times New Roman" w:eastAsia="Times New Roman" w:hAnsi="Times New Roman" w:cs="Times New Roman"/>
          <w:color w:val="000000"/>
          <w:sz w:val="28"/>
          <w:szCs w:val="28"/>
          <w:lang w:val="en-US" w:eastAsia="ru-RU"/>
        </w:rPr>
      </w:pPr>
    </w:p>
    <w:p w:rsidR="007005DE" w:rsidRPr="007005DE" w:rsidRDefault="007005DE" w:rsidP="007005DE">
      <w:pPr>
        <w:spacing w:after="0" w:line="240" w:lineRule="auto"/>
        <w:jc w:val="both"/>
        <w:rPr>
          <w:rFonts w:ascii="Calibri" w:eastAsia="Times New Roman" w:hAnsi="Calibri" w:cs="Calibri"/>
          <w:color w:val="000000"/>
          <w:sz w:val="28"/>
          <w:szCs w:val="28"/>
          <w:lang w:val="en-US" w:eastAsia="ru-RU"/>
        </w:rPr>
      </w:pPr>
    </w:p>
    <w:p w:rsidR="007005DE" w:rsidRDefault="00844CCE" w:rsidP="008E2D16">
      <w:pPr>
        <w:spacing w:after="0" w:line="240" w:lineRule="auto"/>
        <w:jc w:val="center"/>
        <w:rPr>
          <w:rFonts w:ascii="Calibri" w:eastAsia="Times New Roman" w:hAnsi="Calibri" w:cs="Calibri"/>
          <w:color w:val="000000"/>
          <w:sz w:val="28"/>
          <w:szCs w:val="28"/>
          <w:lang w:val="en-US" w:eastAsia="ru-RU"/>
        </w:rPr>
      </w:pPr>
      <w:r>
        <w:rPr>
          <w:rFonts w:ascii="Times New Roman" w:eastAsia="Times New Roman" w:hAnsi="Times New Roman" w:cs="Times New Roman"/>
          <w:color w:val="000000"/>
          <w:sz w:val="28"/>
          <w:szCs w:val="28"/>
          <w:lang w:val="en-US" w:eastAsia="ru-RU"/>
        </w:rPr>
        <w:lastRenderedPageBreak/>
        <w:t>Ode</w:t>
      </w:r>
      <w:r w:rsidR="00FB5CAB">
        <w:rPr>
          <w:rFonts w:ascii="Times New Roman" w:eastAsia="Times New Roman" w:hAnsi="Times New Roman" w:cs="Times New Roman"/>
          <w:color w:val="000000"/>
          <w:sz w:val="28"/>
          <w:szCs w:val="28"/>
          <w:lang w:val="en-US" w:eastAsia="ru-RU"/>
        </w:rPr>
        <w:t>sa - 202</w:t>
      </w:r>
      <w:r w:rsidR="00FB5CAB">
        <w:rPr>
          <w:rFonts w:ascii="Times New Roman" w:eastAsia="Times New Roman" w:hAnsi="Times New Roman" w:cs="Times New Roman"/>
          <w:color w:val="000000"/>
          <w:sz w:val="28"/>
          <w:szCs w:val="28"/>
          <w:lang w:val="uk-UA" w:eastAsia="ru-RU"/>
        </w:rPr>
        <w:t>2</w:t>
      </w:r>
      <w:bookmarkStart w:id="0" w:name="_GoBack"/>
      <w:bookmarkEnd w:id="0"/>
      <w:r w:rsidR="007005DE">
        <w:rPr>
          <w:rFonts w:ascii="Calibri" w:eastAsia="Times New Roman" w:hAnsi="Calibri" w:cs="Calibri"/>
          <w:color w:val="000000"/>
          <w:sz w:val="28"/>
          <w:szCs w:val="28"/>
          <w:lang w:val="en-US" w:eastAsia="ru-RU"/>
        </w:rPr>
        <w:br w:type="page"/>
      </w:r>
    </w:p>
    <w:p w:rsidR="007005DE" w:rsidRPr="007005DE" w:rsidRDefault="00D9270C" w:rsidP="008E2D16">
      <w:pPr>
        <w:spacing w:after="0" w:line="240" w:lineRule="auto"/>
        <w:jc w:val="both"/>
        <w:rPr>
          <w:rFonts w:ascii="Calibri" w:eastAsia="Times New Roman" w:hAnsi="Calibri" w:cs="Calibri"/>
          <w:color w:val="000000"/>
          <w:sz w:val="28"/>
          <w:szCs w:val="28"/>
          <w:lang w:val="en-US" w:eastAsia="ru-RU"/>
        </w:rPr>
      </w:pPr>
      <w:r w:rsidRPr="0009160B">
        <w:rPr>
          <w:rFonts w:ascii="Times New Roman" w:eastAsia="Times New Roman" w:hAnsi="Times New Roman" w:cs="Times New Roman"/>
          <w:b/>
          <w:bCs/>
          <w:color w:val="000000"/>
          <w:sz w:val="28"/>
          <w:szCs w:val="28"/>
          <w:lang w:val="en-US" w:eastAsia="ru-RU"/>
        </w:rPr>
        <w:lastRenderedPageBreak/>
        <w:t>The purpose of the lesson:</w:t>
      </w:r>
      <w:r w:rsidR="007005DE" w:rsidRPr="007005DE">
        <w:rPr>
          <w:rFonts w:ascii="Times New Roman" w:eastAsia="Times New Roman" w:hAnsi="Times New Roman" w:cs="Times New Roman"/>
          <w:color w:val="000000"/>
          <w:sz w:val="28"/>
          <w:szCs w:val="28"/>
          <w:lang w:val="en-US" w:eastAsia="ru-RU"/>
        </w:rPr>
        <w:t>To study the effect of lipophilicity on pharmacokinetic characteristics and dynamics of bioavailability of drugs; to acquire practical skills in calculating the lipophilicity coefficient with the help of computer programs and its use for predicting the bioavailability of drugs.</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 xml:space="preserve">Basic concepts: </w:t>
      </w:r>
      <w:r w:rsidRPr="007005DE">
        <w:rPr>
          <w:rFonts w:ascii="Times New Roman" w:eastAsia="Times New Roman" w:hAnsi="Times New Roman" w:cs="Times New Roman"/>
          <w:color w:val="000000"/>
          <w:sz w:val="28"/>
          <w:szCs w:val="28"/>
          <w:lang w:val="en-US" w:eastAsia="ru-RU"/>
        </w:rPr>
        <w:t>Lipophilicity</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 xml:space="preserve">Equipment: </w:t>
      </w:r>
      <w:r w:rsidRPr="007005DE">
        <w:rPr>
          <w:rFonts w:ascii="Times New Roman" w:eastAsia="Times New Roman" w:hAnsi="Times New Roman" w:cs="Times New Roman"/>
          <w:color w:val="000000"/>
          <w:sz w:val="28"/>
          <w:szCs w:val="28"/>
          <w:lang w:val="en-US" w:eastAsia="ru-RU"/>
        </w:rPr>
        <w:t xml:space="preserve">according to the requirements of Good Pharmacy Practice (GPP </w:t>
      </w:r>
      <w:r w:rsidRPr="007005DE">
        <w:rPr>
          <w:rFonts w:ascii="Calibri" w:eastAsia="Times New Roman" w:hAnsi="Calibri" w:cs="Calibri"/>
          <w:color w:val="000000"/>
          <w:sz w:val="28"/>
          <w:szCs w:val="28"/>
          <w:lang w:val="en-US" w:eastAsia="ru-RU"/>
        </w:rPr>
        <w:t>).</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Study time: 2.0</w:t>
      </w:r>
    </w:p>
    <w:p w:rsidR="007005DE" w:rsidRPr="007005DE" w:rsidRDefault="007005DE" w:rsidP="008E2D16">
      <w:pPr>
        <w:spacing w:after="0" w:line="240" w:lineRule="auto"/>
        <w:jc w:val="center"/>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Plan</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I. Organizational moment.</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ІІ. Control of basic knowledge</w:t>
      </w:r>
    </w:p>
    <w:p w:rsidR="007005DE" w:rsidRPr="007005DE" w:rsidRDefault="007005DE" w:rsidP="008E2D16">
      <w:pPr>
        <w:spacing w:after="0" w:line="240" w:lineRule="auto"/>
        <w:ind w:left="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2.1. Requirements for theoretical readiness of students to perform practical classes (knowledge requirements, list of didactic units):</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Requirements for theoretical knowledge: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To assess the bioavailability of drugs and their dosage forms, along with such characteristics as molecular structure, molecule size, stereochemical features, physical state, the ability of the substance to dissolve in the aqueous or lipid layer of biological membranes is important. The concept of "lipophilicity" is used to estimate this parameter.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Lipophilicity is a physicochemical constant of a substance that characterizes the ability of a chemical compound to dissolve in fats, oils, lipids, and nonpolar solvents (toluenes, hexanes, etc.). This parameter determines the pharmacokinetics of the drug and its behavior in the body, passing through the bilipid layer of the cell membrane. Lipophilic (fat-soluble) substances are quickly and almost completely (90%) absorbed in the gastrointestinal tract. The intake of fat-soluble drugs decreases with a decrease in the absorption surface (after resection of the stomach, part of the intestine), diarrhea, increased peristalsis, edema of the gastrointestinal mucosa, circulatory disorders of the gastrointestinal tract. Hydrophilic compounds are not completely and unevenly absorbed in the intestine.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Lipophilicity is usually described by the processes of distribution between two phases - non-polar (organic phase) and polar (mostly aqueous). Quantitative characteristic of lipophilicity - partition coefficient P - is defined as the ratio of the concentrations of the neutral compound in organic (corg) and aqueous (aqueous) solutions under equilibrium conditions (1):</w:t>
      </w:r>
    </w:p>
    <w:p w:rsidR="007005DE" w:rsidRPr="007005DE" w:rsidRDefault="009B46C0" w:rsidP="008E2D16">
      <w:pPr>
        <w:spacing w:after="0" w:line="240" w:lineRule="auto"/>
        <w:jc w:val="center"/>
        <w:rPr>
          <w:rFonts w:ascii="Calibri" w:eastAsia="Times New Roman" w:hAnsi="Calibri" w:cs="Calibri"/>
          <w:color w:val="000000"/>
          <w:sz w:val="28"/>
          <w:szCs w:val="28"/>
          <w:lang w:val="en-US" w:eastAsia="ru-RU"/>
        </w:rPr>
      </w:pPr>
      <w:r>
        <w:rPr>
          <w:rFonts w:ascii="Calibri" w:eastAsia="Times New Roman" w:hAnsi="Calibri" w:cs="Calibri"/>
          <w:noProof/>
          <w:color w:val="000000"/>
          <w:sz w:val="28"/>
          <w:szCs w:val="28"/>
          <w:lang w:eastAsia="ru-RU"/>
        </w:rPr>
        <w:drawing>
          <wp:inline distT="0" distB="0" distL="0" distR="0">
            <wp:extent cx="1005840" cy="4419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005840" cy="441960"/>
                    </a:xfrm>
                    <a:prstGeom prst="rect">
                      <a:avLst/>
                    </a:prstGeom>
                    <a:noFill/>
                    <a:ln>
                      <a:noFill/>
                    </a:ln>
                  </pic:spPr>
                </pic:pic>
              </a:graphicData>
            </a:graphic>
          </wp:inline>
        </w:drawing>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 xml:space="preserve">Experimentally, the lipophilicity coefficient is determined using a standard binary system n-octanol - water. This system is a convenient model for assessing lipophilicity: n-octanol is chosen as the standard solvent due to its formal similarity to lipids (long alkyl chain and functional group having both proton-donor and acceptor properties). The concentration of the substance is determined by spectrophotometric method or high performance liquid chromatography. LogPo / w values ​​began to be </w:t>
      </w:r>
      <w:r w:rsidRPr="007005DE">
        <w:rPr>
          <w:rFonts w:ascii="Times New Roman" w:eastAsia="Times New Roman" w:hAnsi="Times New Roman" w:cs="Times New Roman"/>
          <w:color w:val="000000"/>
          <w:sz w:val="28"/>
          <w:szCs w:val="28"/>
          <w:lang w:val="en-US" w:eastAsia="ru-RU"/>
        </w:rPr>
        <w:lastRenderedPageBreak/>
        <w:t>used as a parameter of lipophilicity after Hench discovered a correlation between the biological activity of a substance and its distribution constant in this system.</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There are several theoretical approaches to estimating logP. Among them, the additive method is especially popular, which assumes that the total lipophilicity of the molecule can be decomposed into structural components. One of the first schemes to assess the lipophilicity of substituents was proposed by Hench.</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The increase in lipophilicity of the molecule is observed with the introduction of functional groups or radicals in the following sequence:</w:t>
      </w:r>
    </w:p>
    <w:p w:rsidR="007005DE" w:rsidRPr="007005DE" w:rsidRDefault="007005DE" w:rsidP="008E2D16">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For hydrophilic groups: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Carboxyl&gt; hydroxyl&gt; aldehyde&gt;keto group&gt; amino group&gt;imino group&gt;amido group&gt;imido group</w:t>
      </w:r>
    </w:p>
    <w:p w:rsidR="007005DE" w:rsidRPr="007005DE" w:rsidRDefault="007005DE" w:rsidP="008E2D16">
      <w:pPr>
        <w:numPr>
          <w:ilvl w:val="0"/>
          <w:numId w:val="2"/>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For hydrophobic radicals: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Methyl&gt; methylene&gt; ethyl&gt; propyl&gt; higher alkyl&gt; phenyl&gt;chlorophenyl&gt;bromophenyl&gt;iodophenyl.</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The value of logP between -1 and +5 is optimal for substances intended for oral use: if the value is less than -1, the substance is poorly absorbed from the intestine; when logP&gt; 5 - the compound has significant lipophilicity and is able to linger in the lipid layers, which also complicates its absorption.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The value of logP can theoretically be calculated based on the structural formula of the substance using special computer programs such as ACD / labs 10, ACD / LogP, Dragon, Instant JChem, Gaussian, Molinspiration, Chemoffice 6.0 and others.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The increase in lipophilicity correlates with the accumulation of the substance in adipose tissue, decreased water solubility, increased rate of penetration through the skin, increased binding to plasma proteins, accelerated metabolism and excretion, accelerated peak activity and, in some cases, reduced duration of action.</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Features of metabolism and excretion of lipophilic drugs are important in the treatment of patients with impaired renal and hepatic function.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The amount of lipophilicity of cardiac glycosides significantly affects their pharmacokinetics, namely absorption in the digestive tract, which determines the rate of onset, duration of their cardiotonic effect and the route of their introduction into the body. The more and more strongly the cardiac glycosides bind to proteins, the longer their action lasts.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Thus, the drug digitoxin, which belongs to the non-polar lipophilic cardiac glycosides, is well soluble in lipids and easily penetrates cell membranes. It is used orally (in the form of tablets). It is completely absorbed in the digestive tract (100%), strongly binds to plasma proteins (60%), biotransformed in the liver, has a high ability to accumulate in tissues. The effect occurs after 1.5-2 hours, is completely eliminated after 14-21 days.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 xml:space="preserve">Cardiac glycosides with moderate polarity and lipophilicity - digoxin, celanide - are used orally and intravenously, because they are absorbed in the digestive tract only by 60-80% and 15-40%, with plasma proteins are bound by 20-30% and 20-25%, in accordance. The onset of action is observed after 30-120 minutes. when administered orally, after 5-30 minutes - with intravenous. Complete elimination </w:t>
      </w:r>
      <w:r w:rsidRPr="007005DE">
        <w:rPr>
          <w:rFonts w:ascii="Times New Roman" w:eastAsia="Times New Roman" w:hAnsi="Times New Roman" w:cs="Times New Roman"/>
          <w:color w:val="000000"/>
          <w:sz w:val="28"/>
          <w:szCs w:val="28"/>
          <w:lang w:val="en-US" w:eastAsia="ru-RU"/>
        </w:rPr>
        <w:lastRenderedPageBreak/>
        <w:t>occurs in 5-7 days. The drugs are partially converted in the liver, are mainly excreted in the urine and have a lower potential for accumulation than digitoxin.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Polar hydrophilic cardiac glycosides - strophanthin, corglycone - when taken orally, they are practically not absorbed (3-7%), do not bind to proteins, slightly biotransformed in the liver, almost do not accumulate, excreted unchanged mainly in the urine, so they are used head intravenously (rarely intramuscularly). Drugs of this group show unstable (within 1-3 days), but fast effect (the beginning of action is observed in 3-5 minutes and reaches a maximum within 30-60 minutes), complete elimination occurs in 1-3 days. Strophanthin is a drug for primary health care.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Differences in the duration of action of β-blockers with a low selectivity index depend on the characteristics of the chemical structure, lipophilicity and elimination pathways. Lipophilicity of β-blockers promotes their penetration through the blood-encephalic, hystero-placental barrier into the eye chamber. Lipophilic β-blockers are rapidly and completely (over 90%) absorbed in the gastrointestinal tract, their metabolism in the liver is 80-100%, the bioavailability of most of them (propranolol, metoprolol, alprenolol, etc.) due to the effect of "first pass" »Through the liver is slightly more than 10-40%. These drugs with prolonged use can themselves reduce hepatic blood flow, slow down their own metabolism and the metabolism of other lipophilic drugs. This explains the increase in the half-life and the possibility of reducing the single (daily) dose and the frequency of their reception, increasing the effect, the threat of overdose. In addition, the high lipophilicity of β-blockers determines their higher effectiveness in the prevention of adverse cardiovascular diseases, in particular in patients with hypertension or coronary heart disease.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Didactic units:</w:t>
      </w:r>
    </w:p>
    <w:p w:rsidR="007005DE" w:rsidRPr="007005DE" w:rsidRDefault="007005DE" w:rsidP="008E2D16">
      <w:pPr>
        <w:spacing w:after="0" w:line="240" w:lineRule="auto"/>
        <w:ind w:left="720" w:hanging="360"/>
        <w:jc w:val="both"/>
        <w:rPr>
          <w:rFonts w:ascii="Calibri" w:eastAsia="Times New Roman" w:hAnsi="Calibri" w:cs="Calibri"/>
          <w:color w:val="000000"/>
          <w:sz w:val="28"/>
          <w:szCs w:val="28"/>
          <w:lang w:val="en-US" w:eastAsia="ru-RU"/>
        </w:rPr>
      </w:pPr>
      <w:r w:rsidRPr="007005DE">
        <w:rPr>
          <w:rFonts w:ascii="Calibri" w:eastAsia="Times New Roman" w:hAnsi="Calibri" w:cs="Calibri"/>
          <w:color w:val="000000"/>
          <w:sz w:val="28"/>
          <w:szCs w:val="28"/>
          <w:lang w:val="en-US" w:eastAsia="ru-RU"/>
        </w:rPr>
        <w:t>-</w:t>
      </w:r>
      <w:r w:rsidRPr="007005DE">
        <w:rPr>
          <w:rFonts w:ascii="Times New Roman" w:eastAsia="Times New Roman" w:hAnsi="Times New Roman" w:cs="Times New Roman"/>
          <w:color w:val="000000"/>
          <w:sz w:val="28"/>
          <w:szCs w:val="28"/>
          <w:lang w:val="en-US" w:eastAsia="ru-RU"/>
        </w:rPr>
        <w:t>Lipophilicity</w:t>
      </w:r>
    </w:p>
    <w:p w:rsidR="007005DE" w:rsidRPr="007005DE" w:rsidRDefault="00F12561" w:rsidP="008E2D16">
      <w:pPr>
        <w:spacing w:after="0" w:line="240" w:lineRule="auto"/>
        <w:jc w:val="both"/>
        <w:rPr>
          <w:rFonts w:ascii="Calibri" w:eastAsia="Times New Roman" w:hAnsi="Calibri" w:cs="Calibri"/>
          <w:color w:val="000000"/>
          <w:sz w:val="28"/>
          <w:szCs w:val="28"/>
          <w:lang w:val="en-US" w:eastAsia="ru-RU"/>
        </w:rPr>
      </w:pPr>
      <w:r>
        <w:rPr>
          <w:rFonts w:ascii="Times New Roman" w:eastAsia="Times New Roman" w:hAnsi="Times New Roman" w:cs="Times New Roman"/>
          <w:i/>
          <w:iCs/>
          <w:color w:val="000000"/>
          <w:sz w:val="28"/>
          <w:szCs w:val="28"/>
          <w:lang w:val="en-US" w:eastAsia="ru-RU"/>
        </w:rPr>
        <w:t>Answer the question:</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 xml:space="preserve">1. Define the concept of "Lipophilicity". </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2. Coefficient of distribution and methods of its determination.</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3. Computer programs for calculating the lipophilicity of biologically active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compounds.</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 xml:space="preserve">4. Hench method and its use in medical chemistry. </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5. The value of lipophilicity for drug absorption.</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i/>
          <w:iCs/>
          <w:color w:val="000000"/>
          <w:sz w:val="28"/>
          <w:szCs w:val="28"/>
          <w:lang w:val="en-US" w:eastAsia="ru-RU"/>
        </w:rPr>
        <w:t>Solve the test:</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1. Indicate which term corresponds to the following statement: "A complex process in which lipoid-dissolved molecular drug substances in the process of biochemical reactions are replaced by catalytic enzymes (oxidation, reduction, hydrolysis, synthesis) into metabolites."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bioavailability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equivalence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system availability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biotransformation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absorption</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lastRenderedPageBreak/>
        <w:t>2. Indicate which term corresponds to the following statement: "Constant rate of transition of the drug from the circulatory system to any or any part of the body."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biotransformation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elimination constant</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suction rate constant</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equivalence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distribution rate constant</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3. Lipophilic bases are used for preparation of ointments. Specify the lipophilic component of the bases, which is a representative of hydrocarbons.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Esilon-4.</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Spermacet.</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Paraffin.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Combi.</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Phytosterol.</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4. The pharmacist prepared the ointment. Specify the substance that is injected into the lipophilic base, heated to 40C?</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Camphor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Anesthesia</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Benzoic acid</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Streptocide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Vinyl</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5. Ointment bases are subject to the following requirements: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compatibility with medicinal substances;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low melting point;</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transparency;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strength;</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purity.</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6. The doctor prescribed a superficial ointment on a hydrophobic basis. What is the basis that a pharmacist should use?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Vaseline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Wax</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Cocoa butter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Spermacet</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Bentonite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7. The doctor prescribed rectal suppositories and did not specify their weight. Indicate the mass of the suppository to be prepared at the pharmacy: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4.0</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1.0</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3.0</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5.0</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2.0</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8. The doctor prescribed the patient a simple sulfur ointment for the treatment of scabies. Choose the basis that provides the desired therapeutic effect:</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lastRenderedPageBreak/>
        <w:t>A. vaseline;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emulsion consistency base EM Kutumova "water-vaseline";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lanolin;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lard;</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bentonite base.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9. Medicinal substances in multiphase ointments are administered depending on their properties. How should a pharmacist introduce novocaine into a vaseline-lanolin base?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Grind with alcohol or ether.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Grind with glycerin.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Rub with part of the melted base.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Dissolve in water.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Dissolve in the molten base.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10. Medicinal substances in multiphase ointments are administered depending on their properties. How should a pharmacist introduce diphenhydramine into a vaseline-lanolin base?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Grind with alcohol or ether.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Grind with glycerin.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Rub with part of the melted base.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Dissolve in water.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Dissolve in the molten base.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III. Formation of professional skills, abilities: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3.1.content of tasks:</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Complete an individual task set by the teacher:</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 xml:space="preserve">Task: to </w:t>
      </w:r>
      <w:r w:rsidRPr="007005DE">
        <w:rPr>
          <w:rFonts w:ascii="Times New Roman" w:eastAsia="Times New Roman" w:hAnsi="Times New Roman" w:cs="Times New Roman"/>
          <w:color w:val="000000"/>
          <w:sz w:val="28"/>
          <w:szCs w:val="28"/>
          <w:lang w:val="en-US" w:eastAsia="ru-RU"/>
        </w:rPr>
        <w:t xml:space="preserve">calculate the value of the distribution coefficient P to assess the lipophilicity of salicylic acid       </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3.2.</w:t>
      </w:r>
      <w:r w:rsidRPr="007005DE">
        <w:rPr>
          <w:rFonts w:ascii="Times New Roman" w:eastAsia="Times New Roman" w:hAnsi="Times New Roman" w:cs="Times New Roman"/>
          <w:b/>
          <w:bCs/>
          <w:color w:val="000000"/>
          <w:sz w:val="28"/>
          <w:szCs w:val="28"/>
          <w:lang w:val="en-US" w:eastAsia="ru-RU"/>
        </w:rPr>
        <w:t>recommendations (instructions) for performing tasks</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According to the course of practical training to carry out registration of the individual task in a workbook.</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pacing w:val="15"/>
          <w:sz w:val="28"/>
          <w:szCs w:val="28"/>
          <w:lang w:val="en-US" w:eastAsia="ru-RU"/>
        </w:rPr>
        <w:t>The partition coefficient P is calculated by the formula:</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pacing w:val="15"/>
          <w:sz w:val="28"/>
          <w:szCs w:val="28"/>
          <w:lang w:val="en-US" w:eastAsia="ru-RU"/>
        </w:rPr>
        <w:t>P = lg (Akints.) / (Avih.-Akints.),</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pacing w:val="15"/>
          <w:sz w:val="28"/>
          <w:szCs w:val="28"/>
          <w:lang w:val="en-US" w:eastAsia="ru-RU"/>
        </w:rPr>
        <w:t xml:space="preserve">deAkinc. –Value of the optical density of the octanol solution after shaking with water;           </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pacing w:val="15"/>
          <w:sz w:val="28"/>
          <w:szCs w:val="28"/>
          <w:lang w:val="en-US" w:eastAsia="ru-RU"/>
        </w:rPr>
        <w:t>Avih. - the value of the optical density of the initial solution before shaking with water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3.3.requirements for work results, including before registration</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In accordance with the recommendations (instructions) for the tasks.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3.4.control materials for the final stage of the l</w:t>
      </w:r>
      <w:r w:rsidR="00F12561">
        <w:rPr>
          <w:rFonts w:ascii="Times New Roman" w:eastAsia="Times New Roman" w:hAnsi="Times New Roman" w:cs="Times New Roman"/>
          <w:b/>
          <w:bCs/>
          <w:color w:val="000000"/>
          <w:sz w:val="28"/>
          <w:szCs w:val="28"/>
          <w:lang w:val="en-US" w:eastAsia="ru-RU"/>
        </w:rPr>
        <w:t>esson: tasks, tasks, tests, etc</w:t>
      </w:r>
      <w:r w:rsidRPr="007005DE">
        <w:rPr>
          <w:rFonts w:ascii="Times New Roman" w:eastAsia="Times New Roman" w:hAnsi="Times New Roman" w:cs="Times New Roman"/>
          <w:b/>
          <w:bCs/>
          <w:color w:val="000000"/>
          <w:sz w:val="28"/>
          <w:szCs w:val="28"/>
          <w:lang w:val="en-US" w:eastAsia="ru-RU"/>
        </w:rPr>
        <w:t>.:</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1. Medicinal substances in multiphase ointments are administered depending on their properties. How should a pharmacist inject analgin into a vaseline-lanolin base?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Grind with alcohol or ether.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Grind with glycerin.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lastRenderedPageBreak/>
        <w:t>C. Dissolve in a minimum amount of water.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Rub with part of the melted base.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Dissolve in the molten base.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2. Soft dosage forms and bases can be divided into hydrophilic and hydrophobic on the following grounds: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on rheological properties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by affinity for water,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on concentration and a dispersed condition of auxiliary and medicinal</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substances.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on the ability to adsorb water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by type of dispersion of systems</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3. Ointments must have certain rheological characteristics. These include: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plasticity;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homogeneity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hydrophilicity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elasticity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a certain pH value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4. Ointments must have certain rheological characteristics. These include: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hydrophilicity;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homogeneity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period of relaxation;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elasticity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a certain pH value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5. Ointments must have certain structural and mechanical characteristics. These include: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homogeneity;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elasticity;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hydrophilicity;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elasticity;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a certain pH value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6. Ointments must have certain structural and mechanical characteristics. These include: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a certain pH value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elasticity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hydrophilicity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homogeneity;</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viscosity</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7. Ointment of suspension type on a lipophilic basis forms?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Bismuth subnitrate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Novocaine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Dicaine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Diphenhydramine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Camphor</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lastRenderedPageBreak/>
        <w:t>8. Ointment of suspension type on a lipophilic basis forms: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Novocaine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Dicaine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Diphenhydramine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Zinc oxide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Camphor</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9. The patient is prepared nasal ointment containing protargol. How should a pharmacist inject protargol into an ointment base?</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Grind with alcohol.</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Grind with water.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Rub with glycerin and then with water.</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Rub with a base and then with glycerin</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Pour a thin layer on the surface of the ointment base.</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10. Which of the following factors is pharmaceutical?</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A. physical condition of the drug</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B. become ill</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C. concomitant pathologies</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D. time of taking the drug</w:t>
      </w:r>
    </w:p>
    <w:p w:rsidR="007005DE" w:rsidRPr="007005DE" w:rsidRDefault="007005DE" w:rsidP="008E2D16">
      <w:pPr>
        <w:spacing w:after="0" w:line="240" w:lineRule="auto"/>
        <w:ind w:firstLine="567"/>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color w:val="000000"/>
          <w:sz w:val="28"/>
          <w:szCs w:val="28"/>
          <w:lang w:val="en-US" w:eastAsia="ru-RU"/>
        </w:rPr>
        <w:t>E. pregnancy</w:t>
      </w:r>
    </w:p>
    <w:p w:rsidR="007005DE" w:rsidRPr="007005DE" w:rsidRDefault="007005DE" w:rsidP="008E2D16">
      <w:pPr>
        <w:spacing w:after="0" w:line="240" w:lineRule="auto"/>
        <w:jc w:val="both"/>
        <w:rPr>
          <w:rFonts w:ascii="Calibri" w:eastAsia="Times New Roman" w:hAnsi="Calibri" w:cs="Calibri"/>
          <w:color w:val="000000"/>
          <w:sz w:val="28"/>
          <w:szCs w:val="28"/>
          <w:lang w:val="en-US" w:eastAsia="ru-RU"/>
        </w:rPr>
      </w:pPr>
      <w:r w:rsidRPr="007005DE">
        <w:rPr>
          <w:rFonts w:ascii="Times New Roman" w:eastAsia="Times New Roman" w:hAnsi="Times New Roman" w:cs="Times New Roman"/>
          <w:b/>
          <w:bCs/>
          <w:color w:val="000000"/>
          <w:sz w:val="28"/>
          <w:szCs w:val="28"/>
          <w:lang w:val="en-US" w:eastAsia="ru-RU"/>
        </w:rPr>
        <w:t>IV. Summing up</w:t>
      </w:r>
    </w:p>
    <w:p w:rsidR="00F12561" w:rsidRPr="0082625C" w:rsidRDefault="00F12561" w:rsidP="008E2D16">
      <w:pPr>
        <w:spacing w:after="0" w:line="240" w:lineRule="auto"/>
        <w:jc w:val="center"/>
        <w:rPr>
          <w:rFonts w:ascii="Calibri" w:eastAsia="Times New Roman" w:hAnsi="Calibri" w:cs="Calibri"/>
          <w:color w:val="000000"/>
          <w:sz w:val="28"/>
          <w:szCs w:val="28"/>
          <w:lang w:val="en-US" w:eastAsia="ru-RU"/>
        </w:rPr>
      </w:pPr>
    </w:p>
    <w:p w:rsidR="00F12561" w:rsidRPr="0082625C" w:rsidRDefault="00F12561" w:rsidP="008E2D16">
      <w:pPr>
        <w:spacing w:after="0" w:line="240" w:lineRule="auto"/>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List of recommended reading</w:t>
      </w:r>
    </w:p>
    <w:p w:rsidR="00F12561" w:rsidRPr="0082625C" w:rsidRDefault="00F12561" w:rsidP="008E2D16">
      <w:pPr>
        <w:shd w:val="clear" w:color="auto" w:fill="FFFFFF"/>
        <w:spacing w:after="0" w:line="240" w:lineRule="auto"/>
        <w:jc w:val="center"/>
        <w:rPr>
          <w:rFonts w:ascii="Times New Roman" w:hAnsi="Times New Roman"/>
          <w:b/>
          <w:sz w:val="28"/>
          <w:szCs w:val="28"/>
          <w:lang w:val="en-US"/>
        </w:rPr>
      </w:pPr>
      <w:r w:rsidRPr="0082625C">
        <w:rPr>
          <w:rFonts w:ascii="Times New Roman" w:hAnsi="Times New Roman"/>
          <w:b/>
          <w:sz w:val="28"/>
          <w:szCs w:val="28"/>
          <w:lang w:val="en-US"/>
        </w:rPr>
        <w:t>Main:</w:t>
      </w:r>
    </w:p>
    <w:p w:rsidR="0037733E" w:rsidRDefault="0037733E" w:rsidP="0037733E">
      <w:pPr>
        <w:tabs>
          <w:tab w:val="left" w:pos="426"/>
          <w:tab w:val="left" w:pos="993"/>
        </w:tabs>
        <w:spacing w:after="0" w:line="240" w:lineRule="auto"/>
        <w:ind w:firstLine="567"/>
        <w:jc w:val="both"/>
        <w:rPr>
          <w:rFonts w:ascii="Times New Roman" w:hAnsi="Times New Roman"/>
          <w:sz w:val="28"/>
          <w:szCs w:val="28"/>
          <w:lang w:val="uk-UA"/>
        </w:rPr>
      </w:pPr>
      <w:r w:rsidRPr="0037733E">
        <w:rPr>
          <w:rFonts w:ascii="Times New Roman" w:hAnsi="Times New Roman" w:cs="Times New Roman"/>
          <w:sz w:val="28"/>
          <w:szCs w:val="28"/>
        </w:rPr>
        <w:t xml:space="preserve">1. </w:t>
      </w:r>
      <w:r w:rsidRPr="00610AFA">
        <w:rPr>
          <w:rFonts w:ascii="Times New Roman" w:hAnsi="Times New Roman" w:cs="Times New Roman"/>
          <w:sz w:val="28"/>
          <w:szCs w:val="28"/>
        </w:rPr>
        <w:t>Біофармація</w:t>
      </w:r>
      <w:r w:rsidRPr="0037733E">
        <w:rPr>
          <w:rFonts w:ascii="Times New Roman" w:hAnsi="Times New Roman" w:cs="Times New Roman"/>
          <w:sz w:val="28"/>
          <w:szCs w:val="28"/>
        </w:rPr>
        <w:t xml:space="preserve"> : </w:t>
      </w:r>
      <w:r w:rsidRPr="00610AFA">
        <w:rPr>
          <w:rFonts w:ascii="Times New Roman" w:hAnsi="Times New Roman" w:cs="Times New Roman"/>
          <w:sz w:val="28"/>
          <w:szCs w:val="28"/>
        </w:rPr>
        <w:t>підруч</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для</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студентів</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закл</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вищ</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освіти</w:t>
      </w:r>
      <w:r w:rsidRPr="0037733E">
        <w:rPr>
          <w:rFonts w:ascii="Times New Roman" w:hAnsi="Times New Roman" w:cs="Times New Roman"/>
          <w:sz w:val="28"/>
          <w:szCs w:val="28"/>
        </w:rPr>
        <w:t xml:space="preserve"> / </w:t>
      </w:r>
      <w:r w:rsidRPr="00610AFA">
        <w:rPr>
          <w:rFonts w:ascii="Times New Roman" w:hAnsi="Times New Roman" w:cs="Times New Roman"/>
          <w:sz w:val="28"/>
          <w:szCs w:val="28"/>
        </w:rPr>
        <w:t>О</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І</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Тихонов</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та</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ін</w:t>
      </w:r>
      <w:r w:rsidRPr="0037733E">
        <w:rPr>
          <w:rFonts w:ascii="Times New Roman" w:hAnsi="Times New Roman" w:cs="Times New Roman"/>
          <w:sz w:val="28"/>
          <w:szCs w:val="28"/>
        </w:rPr>
        <w:t xml:space="preserve">.] ; </w:t>
      </w:r>
      <w:r w:rsidRPr="00610AFA">
        <w:rPr>
          <w:rFonts w:ascii="Times New Roman" w:hAnsi="Times New Roman" w:cs="Times New Roman"/>
          <w:sz w:val="28"/>
          <w:szCs w:val="28"/>
        </w:rPr>
        <w:t>за</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ред</w:t>
      </w:r>
      <w:r w:rsidRPr="0037733E">
        <w:rPr>
          <w:rFonts w:ascii="Times New Roman" w:hAnsi="Times New Roman" w:cs="Times New Roman"/>
          <w:sz w:val="28"/>
          <w:szCs w:val="28"/>
        </w:rPr>
        <w:t xml:space="preserve">. </w:t>
      </w:r>
      <w:r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37733E" w:rsidRDefault="0037733E" w:rsidP="0037733E">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37733E" w:rsidRDefault="0037733E" w:rsidP="0037733E">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37733E" w:rsidRDefault="0037733E" w:rsidP="0037733E">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 4. Настанова СТ-Н МОЗУ 42-7.2:2018 Лікарські засоби дослідження біоеквівалентності. – Київ, 2018. – 77 с. </w:t>
      </w:r>
    </w:p>
    <w:p w:rsidR="00F12561" w:rsidRPr="0037733E" w:rsidRDefault="00F12561" w:rsidP="008E2D16">
      <w:pPr>
        <w:tabs>
          <w:tab w:val="left" w:pos="426"/>
          <w:tab w:val="left" w:pos="993"/>
        </w:tabs>
        <w:spacing w:after="0" w:line="240" w:lineRule="auto"/>
        <w:ind w:firstLine="567"/>
        <w:jc w:val="both"/>
        <w:rPr>
          <w:rFonts w:ascii="Calibri" w:hAnsi="Calibri" w:cs="Calibri"/>
          <w:color w:val="000000"/>
          <w:sz w:val="28"/>
          <w:szCs w:val="28"/>
          <w:lang w:val="uk-UA" w:eastAsia="ru-RU"/>
        </w:rPr>
      </w:pPr>
    </w:p>
    <w:p w:rsidR="00F12561" w:rsidRPr="0037733E" w:rsidRDefault="00F12561" w:rsidP="008E2D16">
      <w:pPr>
        <w:tabs>
          <w:tab w:val="left" w:pos="426"/>
          <w:tab w:val="left" w:pos="993"/>
        </w:tabs>
        <w:spacing w:after="0" w:line="240" w:lineRule="auto"/>
        <w:ind w:firstLine="567"/>
        <w:jc w:val="both"/>
        <w:rPr>
          <w:rFonts w:ascii="Calibri" w:hAnsi="Calibri" w:cs="Calibri"/>
          <w:color w:val="000000"/>
          <w:sz w:val="28"/>
          <w:szCs w:val="28"/>
          <w:lang w:eastAsia="ru-RU"/>
        </w:rPr>
      </w:pPr>
    </w:p>
    <w:p w:rsidR="005A2E5B" w:rsidRPr="0037733E" w:rsidRDefault="005A2E5B" w:rsidP="008E2D16">
      <w:pPr>
        <w:spacing w:after="0" w:line="240" w:lineRule="auto"/>
        <w:jc w:val="center"/>
      </w:pPr>
    </w:p>
    <w:sectPr w:rsidR="005A2E5B" w:rsidRPr="0037733E" w:rsidSect="007005DE">
      <w:headerReference w:type="default" r:id="rId11"/>
      <w:footerReference w:type="default" r:id="rId12"/>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6F54" w:rsidRDefault="00BD6F54" w:rsidP="008E2D16">
      <w:pPr>
        <w:spacing w:after="0" w:line="240" w:lineRule="auto"/>
      </w:pPr>
      <w:r>
        <w:separator/>
      </w:r>
    </w:p>
  </w:endnote>
  <w:endnote w:type="continuationSeparator" w:id="1">
    <w:p w:rsidR="00BD6F54" w:rsidRDefault="00BD6F54" w:rsidP="008E2D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531487699"/>
    </w:sdtPr>
    <w:sdtContent>
      <w:p w:rsidR="008E2D16" w:rsidRPr="008E2D16" w:rsidRDefault="008E2D16" w:rsidP="008E2D16">
        <w:pPr>
          <w:pStyle w:val="a5"/>
          <w:ind w:firstLine="567"/>
          <w:rPr>
            <w:rFonts w:ascii="Times New Roman" w:hAnsi="Times New Roman" w:cs="Times New Roman"/>
            <w:sz w:val="24"/>
            <w:szCs w:val="24"/>
            <w:lang w:val="en-US"/>
          </w:rPr>
        </w:pPr>
        <w:r w:rsidRPr="00AE3814">
          <w:rPr>
            <w:rFonts w:ascii="Times New Roman" w:hAnsi="Times New Roman" w:cs="Times New Roman"/>
            <w:sz w:val="24"/>
            <w:szCs w:val="24"/>
            <w:lang w:val="en-US"/>
          </w:rPr>
          <w:t xml:space="preserve">Methodical development of practices, OPP "Pharmacy, industrial pharmacy", 5th year, Faculty of Pharmacy, Discipline: "Biopharmacy" p. </w:t>
        </w:r>
        <w:r w:rsidR="004C05C2" w:rsidRPr="00AE3814">
          <w:rPr>
            <w:rFonts w:ascii="Times New Roman" w:hAnsi="Times New Roman" w:cs="Times New Roman"/>
          </w:rPr>
          <w:fldChar w:fldCharType="begin"/>
        </w:r>
        <w:r w:rsidRPr="00AE3814">
          <w:rPr>
            <w:rFonts w:ascii="Times New Roman" w:hAnsi="Times New Roman" w:cs="Times New Roman"/>
            <w:lang w:val="en-US"/>
          </w:rPr>
          <w:instrText>PAGE   \* MERGEFORMAT</w:instrText>
        </w:r>
        <w:r w:rsidR="004C05C2" w:rsidRPr="00AE3814">
          <w:rPr>
            <w:rFonts w:ascii="Times New Roman" w:hAnsi="Times New Roman" w:cs="Times New Roman"/>
          </w:rPr>
          <w:fldChar w:fldCharType="separate"/>
        </w:r>
        <w:r w:rsidR="0037733E" w:rsidRPr="0037733E">
          <w:rPr>
            <w:rFonts w:ascii="Times New Roman" w:hAnsi="Times New Roman" w:cs="Times New Roman"/>
            <w:noProof/>
          </w:rPr>
          <w:t>9</w:t>
        </w:r>
        <w:r w:rsidR="004C05C2" w:rsidRPr="00AE3814">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6F54" w:rsidRDefault="00BD6F54" w:rsidP="008E2D16">
      <w:pPr>
        <w:spacing w:after="0" w:line="240" w:lineRule="auto"/>
      </w:pPr>
      <w:r>
        <w:separator/>
      </w:r>
    </w:p>
  </w:footnote>
  <w:footnote w:type="continuationSeparator" w:id="1">
    <w:p w:rsidR="00BD6F54" w:rsidRDefault="00BD6F54" w:rsidP="008E2D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2D16" w:rsidRPr="008E2D16" w:rsidRDefault="008E2D16" w:rsidP="008E2D16">
    <w:pPr>
      <w:spacing w:after="0" w:line="322" w:lineRule="atLeast"/>
      <w:ind w:firstLine="567"/>
      <w:jc w:val="both"/>
      <w:rPr>
        <w:rFonts w:ascii="Calibri" w:eastAsia="Times New Roman" w:hAnsi="Calibri" w:cs="Calibri"/>
        <w:i/>
        <w:color w:val="000000"/>
        <w:sz w:val="24"/>
        <w:szCs w:val="24"/>
        <w:lang w:val="uk-UA" w:eastAsia="ru-RU"/>
      </w:rPr>
    </w:pPr>
    <w:r w:rsidRPr="008E2D16">
      <w:rPr>
        <w:rFonts w:ascii="Times New Roman" w:hAnsi="Times New Roman"/>
        <w:i/>
        <w:sz w:val="24"/>
        <w:szCs w:val="24"/>
        <w:lang w:val="en-US"/>
      </w:rPr>
      <w:t>ONMedU, Department of Drug Technology Practice №</w:t>
    </w:r>
    <w:r w:rsidRPr="008E2D16">
      <w:rPr>
        <w:rFonts w:ascii="Times New Roman" w:hAnsi="Times New Roman"/>
        <w:i/>
        <w:sz w:val="24"/>
        <w:szCs w:val="24"/>
        <w:lang w:val="uk-UA"/>
      </w:rPr>
      <w:t>12</w:t>
    </w:r>
    <w:r w:rsidRPr="008E2D16">
      <w:rPr>
        <w:rFonts w:ascii="Times New Roman" w:hAnsi="Times New Roman"/>
        <w:i/>
        <w:sz w:val="24"/>
        <w:szCs w:val="24"/>
        <w:lang w:val="en-US"/>
      </w:rPr>
      <w:t xml:space="preserve">. </w:t>
    </w:r>
    <w:r w:rsidRPr="008E2D16">
      <w:rPr>
        <w:rFonts w:ascii="Times New Roman" w:eastAsia="Times New Roman" w:hAnsi="Times New Roman" w:cs="Times New Roman"/>
        <w:i/>
        <w:color w:val="000000"/>
        <w:sz w:val="24"/>
        <w:szCs w:val="24"/>
        <w:lang w:val="uk-UA" w:eastAsia="ru-RU"/>
      </w:rPr>
      <w:t>«</w:t>
    </w:r>
    <w:r w:rsidRPr="008E2D16">
      <w:rPr>
        <w:rFonts w:ascii="Times New Roman" w:eastAsia="Times New Roman" w:hAnsi="Times New Roman" w:cs="Times New Roman"/>
        <w:bCs/>
        <w:i/>
        <w:color w:val="000000"/>
        <w:sz w:val="24"/>
        <w:szCs w:val="24"/>
        <w:lang w:val="en-US" w:eastAsia="ru-RU"/>
      </w:rPr>
      <w:t>Lipophilicity and its impact on pharmacokinetic characteristics and dynamics of bioavailability of drugs.</w:t>
    </w:r>
    <w:r w:rsidRPr="008E2D16">
      <w:rPr>
        <w:rFonts w:ascii="Times New Roman" w:eastAsia="Times New Roman" w:hAnsi="Times New Roman" w:cs="Times New Roman"/>
        <w:bCs/>
        <w:i/>
        <w:color w:val="000000"/>
        <w:sz w:val="24"/>
        <w:szCs w:val="24"/>
        <w:lang w:val="uk-UA" w:eastAsia="ru-RU"/>
      </w:rPr>
      <w:t>»</w:t>
    </w:r>
  </w:p>
  <w:p w:rsidR="008E2D16" w:rsidRPr="008E2D16" w:rsidRDefault="008E2D16" w:rsidP="008E2D16">
    <w:pPr>
      <w:spacing w:after="0" w:line="240" w:lineRule="auto"/>
      <w:ind w:firstLine="567"/>
      <w:jc w:val="both"/>
      <w:rPr>
        <w:rFonts w:ascii="Calibri" w:eastAsia="Times New Roman" w:hAnsi="Calibri" w:cs="Calibri"/>
        <w:i/>
        <w:color w:val="000000"/>
        <w:sz w:val="24"/>
        <w:szCs w:val="24"/>
        <w:lang w:val="en-US" w:eastAsia="ru-RU"/>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8627C1"/>
    <w:multiLevelType w:val="multilevel"/>
    <w:tmpl w:val="88F0C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2E747D6"/>
    <w:multiLevelType w:val="multilevel"/>
    <w:tmpl w:val="3126D1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1DA6FB3"/>
    <w:multiLevelType w:val="multilevel"/>
    <w:tmpl w:val="FCEEFA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78C419E"/>
    <w:multiLevelType w:val="multilevel"/>
    <w:tmpl w:val="2828E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7005DE"/>
    <w:rsid w:val="00304D9F"/>
    <w:rsid w:val="0033256D"/>
    <w:rsid w:val="0037733E"/>
    <w:rsid w:val="004C05C2"/>
    <w:rsid w:val="005A2E5B"/>
    <w:rsid w:val="006412AC"/>
    <w:rsid w:val="007005DE"/>
    <w:rsid w:val="00844CCE"/>
    <w:rsid w:val="008E2346"/>
    <w:rsid w:val="008E2D16"/>
    <w:rsid w:val="009037C2"/>
    <w:rsid w:val="009B46C0"/>
    <w:rsid w:val="00BD6F54"/>
    <w:rsid w:val="00D9270C"/>
    <w:rsid w:val="00F12561"/>
    <w:rsid w:val="00FB5C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5C2"/>
  </w:style>
  <w:style w:type="paragraph" w:styleId="5">
    <w:name w:val="heading 5"/>
    <w:basedOn w:val="a"/>
    <w:link w:val="50"/>
    <w:uiPriority w:val="9"/>
    <w:qFormat/>
    <w:rsid w:val="007005DE"/>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7005DE"/>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7005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F12561"/>
    <w:pPr>
      <w:ind w:left="720"/>
      <w:contextualSpacing/>
    </w:pPr>
    <w:rPr>
      <w:rFonts w:eastAsiaTheme="minorEastAsia" w:cs="Times New Roman"/>
      <w:lang w:eastAsia="ru-RU"/>
    </w:rPr>
  </w:style>
  <w:style w:type="paragraph" w:styleId="a5">
    <w:name w:val="header"/>
    <w:basedOn w:val="a"/>
    <w:link w:val="a6"/>
    <w:uiPriority w:val="99"/>
    <w:unhideWhenUsed/>
    <w:rsid w:val="008E2D1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E2D16"/>
  </w:style>
  <w:style w:type="paragraph" w:styleId="a7">
    <w:name w:val="footer"/>
    <w:basedOn w:val="a"/>
    <w:link w:val="a8"/>
    <w:uiPriority w:val="99"/>
    <w:unhideWhenUsed/>
    <w:rsid w:val="008E2D1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E2D16"/>
  </w:style>
  <w:style w:type="paragraph" w:styleId="a9">
    <w:name w:val="Balloon Text"/>
    <w:basedOn w:val="a"/>
    <w:link w:val="aa"/>
    <w:uiPriority w:val="99"/>
    <w:semiHidden/>
    <w:unhideWhenUsed/>
    <w:rsid w:val="0037733E"/>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773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03458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2200</Words>
  <Characters>12542</Characters>
  <Application>Microsoft Office Word</Application>
  <DocSecurity>0</DocSecurity>
  <Lines>104</Lines>
  <Paragraphs>29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14713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7</cp:revision>
  <cp:lastPrinted>2022-02-16T15:02:00Z</cp:lastPrinted>
  <dcterms:created xsi:type="dcterms:W3CDTF">2021-10-20T05:31:00Z</dcterms:created>
  <dcterms:modified xsi:type="dcterms:W3CDTF">2023-02-02T17:32:00Z</dcterms:modified>
</cp:coreProperties>
</file>