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6D5" w:rsidRPr="005856D5" w:rsidRDefault="005856D5" w:rsidP="005856D5">
      <w:pPr>
        <w:spacing w:after="0" w:line="240" w:lineRule="auto"/>
        <w:jc w:val="center"/>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ODESSA NATIONAL MEDICAL UNIVERSITY</w:t>
      </w:r>
    </w:p>
    <w:p w:rsidR="005856D5" w:rsidRPr="005856D5" w:rsidRDefault="005856D5" w:rsidP="005856D5">
      <w:pPr>
        <w:spacing w:after="0" w:line="240" w:lineRule="auto"/>
        <w:jc w:val="center"/>
        <w:outlineLvl w:val="4"/>
        <w:rPr>
          <w:rFonts w:ascii="Calibri" w:hAnsi="Calibri" w:cs="Calibri"/>
          <w:b/>
          <w:bCs/>
          <w:color w:val="000000"/>
          <w:sz w:val="28"/>
          <w:szCs w:val="28"/>
          <w:lang w:val="en-US" w:eastAsia="ru-RU"/>
        </w:rPr>
      </w:pPr>
      <w:r w:rsidRPr="005856D5">
        <w:rPr>
          <w:rFonts w:ascii="Times New Roman" w:hAnsi="Times New Roman"/>
          <w:b/>
          <w:bCs/>
          <w:caps/>
          <w:color w:val="000000"/>
          <w:sz w:val="28"/>
          <w:szCs w:val="28"/>
          <w:lang w:val="en-US" w:eastAsia="ru-RU"/>
        </w:rPr>
        <w:t>DEPARTMENT OF DRUGS TECHNOLOGY</w:t>
      </w:r>
    </w:p>
    <w:p w:rsidR="005856D5" w:rsidRPr="005856D5" w:rsidRDefault="005856D5" w:rsidP="005856D5">
      <w:pPr>
        <w:spacing w:after="0" w:line="240" w:lineRule="auto"/>
        <w:jc w:val="center"/>
        <w:rPr>
          <w:rFonts w:ascii="Calibri" w:hAnsi="Calibri" w:cs="Calibri"/>
          <w:color w:val="000000"/>
          <w:sz w:val="28"/>
          <w:szCs w:val="28"/>
          <w:lang w:val="en-US" w:eastAsia="ru-RU"/>
        </w:rPr>
      </w:pPr>
    </w:p>
    <w:p w:rsidR="00C15CDE" w:rsidRPr="005A59BB" w:rsidRDefault="00C15CDE" w:rsidP="00C15CDE">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C15CDE" w:rsidRPr="005A59BB" w:rsidRDefault="00C15CDE" w:rsidP="00C15CDE">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C15CDE" w:rsidRPr="005A59BB" w:rsidRDefault="004147E8" w:rsidP="00C15CDE">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C15CDE" w:rsidRPr="005A59BB">
        <w:rPr>
          <w:rFonts w:ascii="Times New Roman" w:hAnsi="Times New Roman"/>
          <w:color w:val="000000"/>
          <w:sz w:val="28"/>
          <w:szCs w:val="28"/>
          <w:lang w:val="en-US" w:eastAsia="ru-RU"/>
        </w:rPr>
        <w:t>(BorisyukI.Yu.)</w:t>
      </w:r>
    </w:p>
    <w:p w:rsidR="00C15CDE" w:rsidRPr="005A59BB" w:rsidRDefault="00C15CDE" w:rsidP="00C15CDE">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C15CDE" w:rsidRPr="005A59BB" w:rsidRDefault="0043717E" w:rsidP="00C15CDE">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C15CDE" w:rsidRPr="005A59BB">
        <w:rPr>
          <w:rFonts w:ascii="Times New Roman" w:hAnsi="Times New Roman"/>
          <w:color w:val="000000"/>
          <w:sz w:val="28"/>
          <w:szCs w:val="28"/>
          <w:lang w:val="en-US" w:eastAsia="ru-RU"/>
        </w:rPr>
        <w:t>»</w:t>
      </w:r>
      <w:r w:rsidR="00C15CDE">
        <w:rPr>
          <w:rFonts w:ascii="Times New Roman" w:hAnsi="Times New Roman"/>
          <w:color w:val="000000"/>
          <w:sz w:val="28"/>
          <w:szCs w:val="28"/>
          <w:lang w:val="en-US" w:eastAsia="ru-RU"/>
        </w:rPr>
        <w:t xml:space="preserve"> a</w:t>
      </w:r>
      <w:r w:rsidR="00C15CDE"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C15CDE">
        <w:rPr>
          <w:rFonts w:ascii="Times New Roman" w:hAnsi="Times New Roman"/>
          <w:color w:val="000000"/>
          <w:sz w:val="28"/>
          <w:szCs w:val="28"/>
          <w:lang w:val="en-US" w:eastAsia="ru-RU"/>
        </w:rPr>
        <w:t xml:space="preserve"> y.</w:t>
      </w:r>
    </w:p>
    <w:p w:rsidR="005856D5" w:rsidRPr="005856D5" w:rsidRDefault="005856D5" w:rsidP="005856D5">
      <w:pPr>
        <w:spacing w:after="0" w:line="240" w:lineRule="auto"/>
        <w:rPr>
          <w:rFonts w:ascii="Calibri" w:hAnsi="Calibri" w:cs="Calibri"/>
          <w:color w:val="000000"/>
          <w:sz w:val="28"/>
          <w:szCs w:val="28"/>
          <w:lang w:val="en-US" w:eastAsia="ru-RU"/>
        </w:rPr>
      </w:pPr>
    </w:p>
    <w:p w:rsidR="005856D5" w:rsidRPr="005856D5" w:rsidRDefault="005856D5" w:rsidP="005856D5">
      <w:pPr>
        <w:spacing w:after="0" w:line="240" w:lineRule="auto"/>
        <w:rPr>
          <w:rFonts w:ascii="Calibri" w:hAnsi="Calibri" w:cs="Calibri"/>
          <w:color w:val="000000"/>
          <w:sz w:val="28"/>
          <w:szCs w:val="28"/>
          <w:lang w:val="en-US" w:eastAsia="ru-RU"/>
        </w:rPr>
      </w:pPr>
    </w:p>
    <w:p w:rsidR="005856D5" w:rsidRPr="005856D5" w:rsidRDefault="005856D5" w:rsidP="005856D5">
      <w:pPr>
        <w:spacing w:after="0" w:line="240" w:lineRule="auto"/>
        <w:rPr>
          <w:rFonts w:ascii="Calibri" w:hAnsi="Calibri" w:cs="Calibri"/>
          <w:color w:val="000000"/>
          <w:sz w:val="28"/>
          <w:szCs w:val="28"/>
          <w:lang w:val="en-US" w:eastAsia="ru-RU"/>
        </w:rPr>
      </w:pPr>
    </w:p>
    <w:p w:rsidR="005856D5" w:rsidRPr="005856D5" w:rsidRDefault="005856D5" w:rsidP="005856D5">
      <w:pPr>
        <w:spacing w:after="0" w:line="322" w:lineRule="atLeast"/>
        <w:jc w:val="center"/>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METHODICAL DEVELOPMENT OF PRACTICAL LESSON</w:t>
      </w:r>
    </w:p>
    <w:p w:rsidR="005856D5" w:rsidRPr="005856D5" w:rsidRDefault="005856D5" w:rsidP="005856D5">
      <w:pPr>
        <w:spacing w:after="0" w:line="322" w:lineRule="atLeast"/>
        <w:jc w:val="both"/>
        <w:rPr>
          <w:rFonts w:ascii="Calibri" w:hAnsi="Calibri" w:cs="Calibri"/>
          <w:color w:val="000000"/>
          <w:sz w:val="28"/>
          <w:szCs w:val="28"/>
          <w:lang w:val="en-US" w:eastAsia="ru-RU"/>
        </w:rPr>
      </w:pPr>
    </w:p>
    <w:p w:rsidR="005856D5" w:rsidRPr="005856D5" w:rsidRDefault="005856D5" w:rsidP="005856D5">
      <w:pPr>
        <w:spacing w:after="0" w:line="322" w:lineRule="atLeast"/>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Course: </w:t>
      </w:r>
      <w:r w:rsidRPr="005856D5">
        <w:rPr>
          <w:rFonts w:ascii="Times New Roman" w:hAnsi="Times New Roman"/>
          <w:color w:val="000000"/>
          <w:sz w:val="28"/>
          <w:szCs w:val="28"/>
          <w:u w:val="single"/>
          <w:lang w:val="en-US" w:eastAsia="ru-RU"/>
        </w:rPr>
        <w:t>5</w:t>
      </w:r>
      <w:r w:rsidRPr="005856D5">
        <w:rPr>
          <w:rFonts w:ascii="Times New Roman" w:hAnsi="Times New Roman"/>
          <w:color w:val="000000"/>
          <w:sz w:val="28"/>
          <w:szCs w:val="28"/>
          <w:lang w:val="en-US" w:eastAsia="ru-RU"/>
        </w:rPr>
        <w:t xml:space="preserve">Faculty: </w:t>
      </w:r>
      <w:r w:rsidRPr="005856D5">
        <w:rPr>
          <w:rFonts w:ascii="Times New Roman" w:hAnsi="Times New Roman"/>
          <w:color w:val="000000"/>
          <w:sz w:val="28"/>
          <w:szCs w:val="28"/>
          <w:u w:val="single"/>
          <w:lang w:val="en-US" w:eastAsia="ru-RU"/>
        </w:rPr>
        <w:t>Pharmaceutical</w:t>
      </w:r>
    </w:p>
    <w:p w:rsidR="005856D5" w:rsidRPr="005856D5" w:rsidRDefault="005856D5" w:rsidP="005856D5">
      <w:pPr>
        <w:spacing w:after="0" w:line="322" w:lineRule="atLeast"/>
        <w:jc w:val="center"/>
        <w:rPr>
          <w:rFonts w:ascii="Calibri" w:hAnsi="Calibri" w:cs="Calibri"/>
          <w:color w:val="000000"/>
          <w:sz w:val="28"/>
          <w:szCs w:val="28"/>
          <w:lang w:val="en-US" w:eastAsia="ru-RU"/>
        </w:rPr>
      </w:pPr>
    </w:p>
    <w:p w:rsidR="005856D5" w:rsidRPr="005856D5" w:rsidRDefault="005856D5" w:rsidP="005856D5">
      <w:pPr>
        <w:spacing w:after="0" w:line="322" w:lineRule="atLeast"/>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Course: Biopharmacy</w:t>
      </w:r>
    </w:p>
    <w:p w:rsidR="005856D5" w:rsidRPr="005856D5" w:rsidRDefault="005856D5" w:rsidP="005856D5">
      <w:pPr>
        <w:spacing w:after="0" w:line="322" w:lineRule="atLeast"/>
        <w:jc w:val="both"/>
        <w:rPr>
          <w:rFonts w:ascii="Calibri" w:hAnsi="Calibri" w:cs="Calibri"/>
          <w:color w:val="000000"/>
          <w:sz w:val="28"/>
          <w:szCs w:val="28"/>
          <w:lang w:val="en-US" w:eastAsia="ru-RU"/>
        </w:rPr>
      </w:pPr>
    </w:p>
    <w:p w:rsidR="005856D5" w:rsidRPr="005856D5" w:rsidRDefault="00C15CDE" w:rsidP="005856D5">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 xml:space="preserve">Practical lesson №13 Topic: </w:t>
      </w:r>
      <w:r w:rsidRPr="00C15CDE">
        <w:rPr>
          <w:rFonts w:ascii="Times New Roman" w:hAnsi="Times New Roman"/>
          <w:color w:val="000000"/>
          <w:sz w:val="28"/>
          <w:szCs w:val="28"/>
          <w:lang w:val="en-US" w:eastAsia="ru-RU"/>
        </w:rPr>
        <w:t>«</w:t>
      </w:r>
      <w:r w:rsidR="005856D5" w:rsidRPr="005856D5">
        <w:rPr>
          <w:rFonts w:ascii="Times New Roman" w:hAnsi="Times New Roman"/>
          <w:b/>
          <w:bCs/>
          <w:color w:val="000000"/>
          <w:sz w:val="28"/>
          <w:szCs w:val="28"/>
          <w:lang w:val="en-US" w:eastAsia="ru-RU"/>
        </w:rPr>
        <w:t xml:space="preserve">Classification of pharmaceutical factors: physical state; excipients (their nature, physical condition and quantity). </w:t>
      </w:r>
      <w:r w:rsidR="005856D5" w:rsidRPr="005856D5">
        <w:rPr>
          <w:rFonts w:ascii="Times New Roman" w:hAnsi="Times New Roman"/>
          <w:color w:val="000000"/>
          <w:sz w:val="28"/>
          <w:szCs w:val="28"/>
          <w:lang w:val="en-US" w:eastAsia="ru-RU"/>
        </w:rPr>
        <w:t>»</w:t>
      </w:r>
    </w:p>
    <w:p w:rsidR="005856D5" w:rsidRPr="005856D5" w:rsidRDefault="005856D5" w:rsidP="005856D5">
      <w:pPr>
        <w:spacing w:after="0" w:line="240" w:lineRule="auto"/>
        <w:jc w:val="both"/>
        <w:rPr>
          <w:rFonts w:ascii="Calibri" w:hAnsi="Calibri" w:cs="Calibri"/>
          <w:color w:val="000000"/>
          <w:sz w:val="28"/>
          <w:szCs w:val="28"/>
          <w:lang w:val="en-US" w:eastAsia="ru-RU"/>
        </w:rPr>
      </w:pPr>
    </w:p>
    <w:p w:rsidR="005856D5" w:rsidRPr="005856D5" w:rsidRDefault="005856D5" w:rsidP="005856D5">
      <w:pPr>
        <w:spacing w:after="0" w:line="240" w:lineRule="auto"/>
        <w:rPr>
          <w:rFonts w:ascii="Calibri" w:hAnsi="Calibri" w:cs="Calibri"/>
          <w:color w:val="000000"/>
          <w:sz w:val="28"/>
          <w:szCs w:val="28"/>
          <w:lang w:val="en-US" w:eastAsia="ru-RU"/>
        </w:rPr>
      </w:pPr>
    </w:p>
    <w:p w:rsidR="005856D5" w:rsidRPr="005856D5" w:rsidRDefault="005856D5" w:rsidP="005856D5">
      <w:pPr>
        <w:spacing w:after="0" w:line="240" w:lineRule="auto"/>
        <w:rPr>
          <w:rFonts w:ascii="Calibri" w:hAnsi="Calibri" w:cs="Calibri"/>
          <w:color w:val="000000"/>
          <w:sz w:val="28"/>
          <w:szCs w:val="28"/>
          <w:lang w:val="en-US" w:eastAsia="ru-RU"/>
        </w:rPr>
      </w:pPr>
    </w:p>
    <w:p w:rsidR="005856D5" w:rsidRPr="005856D5" w:rsidRDefault="005856D5" w:rsidP="005856D5">
      <w:pPr>
        <w:spacing w:after="0" w:line="240" w:lineRule="auto"/>
        <w:jc w:val="center"/>
        <w:rPr>
          <w:rFonts w:ascii="Calibri" w:hAnsi="Calibri" w:cs="Calibri"/>
          <w:color w:val="000000"/>
          <w:sz w:val="28"/>
          <w:szCs w:val="28"/>
          <w:lang w:val="en-US" w:eastAsia="ru-RU"/>
        </w:rPr>
      </w:pPr>
    </w:p>
    <w:p w:rsidR="00C15CDE" w:rsidRPr="003160BA" w:rsidRDefault="00C15CDE" w:rsidP="00C15CDE">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C15CDE" w:rsidRPr="005A59BB" w:rsidRDefault="00C15CDE" w:rsidP="00C15CDE">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C15CDE" w:rsidRPr="005A59BB" w:rsidRDefault="004147E8" w:rsidP="00C15CDE">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C15CDE">
        <w:rPr>
          <w:rFonts w:ascii="Times New Roman" w:hAnsi="Times New Roman"/>
          <w:color w:val="000000"/>
          <w:sz w:val="28"/>
          <w:szCs w:val="28"/>
          <w:lang w:val="en-US" w:eastAsia="ru-RU"/>
        </w:rPr>
        <w:t>(Fizor. N.S.</w:t>
      </w:r>
      <w:r w:rsidR="00C15CDE" w:rsidRPr="005A59BB">
        <w:rPr>
          <w:rFonts w:ascii="Times New Roman" w:hAnsi="Times New Roman"/>
          <w:color w:val="000000"/>
          <w:sz w:val="28"/>
          <w:szCs w:val="28"/>
          <w:lang w:val="en-US" w:eastAsia="ru-RU"/>
        </w:rPr>
        <w:t>)</w:t>
      </w:r>
    </w:p>
    <w:p w:rsidR="00C15CDE" w:rsidRPr="005A59BB" w:rsidRDefault="00C15CDE" w:rsidP="00C15CDE">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C15CDE" w:rsidRPr="003160BA" w:rsidRDefault="00C15CDE" w:rsidP="00C15CDE">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C15CDE" w:rsidRPr="005A59BB" w:rsidRDefault="0043717E" w:rsidP="00C15CDE">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C15CDE" w:rsidRPr="005A59BB">
        <w:rPr>
          <w:rFonts w:ascii="Times New Roman" w:hAnsi="Times New Roman"/>
          <w:color w:val="000000"/>
          <w:sz w:val="28"/>
          <w:szCs w:val="28"/>
          <w:lang w:val="en-US" w:eastAsia="ru-RU"/>
        </w:rPr>
        <w:t>»</w:t>
      </w:r>
      <w:r w:rsidR="00C15CDE">
        <w:rPr>
          <w:rFonts w:ascii="Times New Roman" w:hAnsi="Times New Roman"/>
          <w:color w:val="000000"/>
          <w:sz w:val="28"/>
          <w:szCs w:val="28"/>
          <w:lang w:val="en-US" w:eastAsia="ru-RU"/>
        </w:rPr>
        <w:t xml:space="preserve"> a</w:t>
      </w:r>
      <w:r w:rsidR="00C15CDE"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C15CDE">
        <w:rPr>
          <w:rFonts w:ascii="Times New Roman" w:hAnsi="Times New Roman"/>
          <w:color w:val="000000"/>
          <w:sz w:val="28"/>
          <w:szCs w:val="28"/>
          <w:lang w:val="en-US" w:eastAsia="ru-RU"/>
        </w:rPr>
        <w:t xml:space="preserve"> y.</w:t>
      </w:r>
    </w:p>
    <w:p w:rsidR="00C15CDE" w:rsidRPr="003160BA" w:rsidRDefault="00C15CDE" w:rsidP="00C15CDE">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C15CDE" w:rsidRPr="003160BA" w:rsidRDefault="00C15CDE" w:rsidP="00C15CDE">
      <w:pPr>
        <w:spacing w:after="0" w:line="322" w:lineRule="atLeast"/>
        <w:ind w:firstLine="5103"/>
        <w:jc w:val="both"/>
        <w:rPr>
          <w:rFonts w:ascii="Calibri" w:hAnsi="Calibri" w:cs="Calibri"/>
          <w:color w:val="000000"/>
          <w:sz w:val="28"/>
          <w:szCs w:val="28"/>
          <w:lang w:val="en-US" w:eastAsia="ru-RU"/>
        </w:rPr>
      </w:pPr>
    </w:p>
    <w:p w:rsidR="005856D5" w:rsidRPr="005856D5" w:rsidRDefault="005856D5" w:rsidP="005856D5">
      <w:pPr>
        <w:spacing w:after="0" w:line="240" w:lineRule="auto"/>
        <w:ind w:firstLine="5103"/>
        <w:jc w:val="both"/>
        <w:rPr>
          <w:rFonts w:ascii="Calibri" w:hAnsi="Calibri" w:cs="Calibri"/>
          <w:color w:val="000000"/>
          <w:sz w:val="28"/>
          <w:szCs w:val="28"/>
          <w:lang w:val="en-US" w:eastAsia="ru-RU"/>
        </w:rPr>
      </w:pPr>
    </w:p>
    <w:p w:rsidR="005856D5" w:rsidRPr="005856D5" w:rsidRDefault="005856D5" w:rsidP="005856D5">
      <w:pPr>
        <w:spacing w:after="0" w:line="240" w:lineRule="auto"/>
        <w:ind w:firstLine="5812"/>
        <w:jc w:val="both"/>
        <w:rPr>
          <w:rFonts w:ascii="Calibri" w:hAnsi="Calibri" w:cs="Calibri"/>
          <w:color w:val="000000"/>
          <w:sz w:val="28"/>
          <w:szCs w:val="28"/>
          <w:lang w:val="en-US" w:eastAsia="ru-RU"/>
        </w:rPr>
      </w:pPr>
    </w:p>
    <w:p w:rsidR="005856D5" w:rsidRPr="005856D5" w:rsidRDefault="005856D5" w:rsidP="005856D5">
      <w:pPr>
        <w:spacing w:after="0" w:line="240" w:lineRule="auto"/>
        <w:ind w:firstLine="5812"/>
        <w:jc w:val="both"/>
        <w:rPr>
          <w:rFonts w:ascii="Calibri" w:hAnsi="Calibri" w:cs="Calibri"/>
          <w:color w:val="000000"/>
          <w:sz w:val="28"/>
          <w:szCs w:val="28"/>
          <w:lang w:val="en-US" w:eastAsia="ru-RU"/>
        </w:rPr>
      </w:pPr>
    </w:p>
    <w:p w:rsidR="005856D5" w:rsidRPr="005856D5" w:rsidRDefault="005856D5" w:rsidP="004147E8">
      <w:pPr>
        <w:spacing w:after="0" w:line="240" w:lineRule="auto"/>
        <w:ind w:firstLine="5812"/>
        <w:jc w:val="both"/>
        <w:rPr>
          <w:rFonts w:ascii="Calibri" w:hAnsi="Calibri" w:cs="Calibri"/>
          <w:color w:val="000000"/>
          <w:sz w:val="28"/>
          <w:szCs w:val="28"/>
          <w:lang w:val="en-US" w:eastAsia="ru-RU"/>
        </w:rPr>
      </w:pPr>
    </w:p>
    <w:p w:rsidR="005856D5" w:rsidRPr="005856D5" w:rsidRDefault="005856D5" w:rsidP="005856D5">
      <w:pPr>
        <w:spacing w:after="0" w:line="240" w:lineRule="auto"/>
        <w:jc w:val="both"/>
        <w:rPr>
          <w:rFonts w:ascii="Calibri" w:hAnsi="Calibri" w:cs="Calibri"/>
          <w:color w:val="000000"/>
          <w:sz w:val="28"/>
          <w:szCs w:val="28"/>
          <w:lang w:val="en-US" w:eastAsia="ru-RU"/>
        </w:rPr>
      </w:pPr>
    </w:p>
    <w:p w:rsidR="005856D5" w:rsidRPr="005856D5" w:rsidRDefault="005856D5" w:rsidP="005856D5">
      <w:pPr>
        <w:spacing w:after="0" w:line="240" w:lineRule="auto"/>
        <w:jc w:val="both"/>
        <w:rPr>
          <w:rFonts w:ascii="Calibri" w:hAnsi="Calibri" w:cs="Calibri"/>
          <w:color w:val="000000"/>
          <w:sz w:val="28"/>
          <w:szCs w:val="28"/>
          <w:lang w:val="en-US" w:eastAsia="ru-RU"/>
        </w:rPr>
      </w:pPr>
    </w:p>
    <w:p w:rsidR="005856D5" w:rsidRPr="005856D5" w:rsidRDefault="00A84B96" w:rsidP="00C15CDE">
      <w:pPr>
        <w:spacing w:after="0" w:line="240" w:lineRule="auto"/>
        <w:jc w:val="center"/>
        <w:rPr>
          <w:rFonts w:ascii="Calibri" w:hAnsi="Calibri" w:cs="Calibri"/>
          <w:color w:val="000000"/>
          <w:sz w:val="28"/>
          <w:szCs w:val="28"/>
          <w:lang w:val="en-US" w:eastAsia="ru-RU"/>
        </w:rPr>
      </w:pPr>
      <w:r>
        <w:rPr>
          <w:rFonts w:ascii="Times New Roman" w:hAnsi="Times New Roman"/>
          <w:color w:val="000000"/>
          <w:sz w:val="28"/>
          <w:szCs w:val="28"/>
          <w:lang w:val="en-US" w:eastAsia="ru-RU"/>
        </w:rPr>
        <w:lastRenderedPageBreak/>
        <w:t>Odes</w:t>
      </w:r>
      <w:r w:rsidR="0043717E">
        <w:rPr>
          <w:rFonts w:ascii="Times New Roman" w:hAnsi="Times New Roman"/>
          <w:color w:val="000000"/>
          <w:sz w:val="28"/>
          <w:szCs w:val="28"/>
          <w:lang w:val="en-US" w:eastAsia="ru-RU"/>
        </w:rPr>
        <w:t>a – 202</w:t>
      </w:r>
      <w:r w:rsidR="0043717E">
        <w:rPr>
          <w:rFonts w:ascii="Times New Roman" w:hAnsi="Times New Roman"/>
          <w:color w:val="000000"/>
          <w:sz w:val="28"/>
          <w:szCs w:val="28"/>
          <w:lang w:val="uk-UA" w:eastAsia="ru-RU"/>
        </w:rPr>
        <w:t>2</w:t>
      </w:r>
      <w:bookmarkStart w:id="0" w:name="_GoBack"/>
      <w:bookmarkEnd w:id="0"/>
      <w:r w:rsidR="005856D5" w:rsidRPr="005856D5">
        <w:rPr>
          <w:rFonts w:ascii="Calibri" w:hAnsi="Calibri" w:cs="Calibri"/>
          <w:color w:val="000000"/>
          <w:sz w:val="28"/>
          <w:szCs w:val="28"/>
          <w:lang w:val="en-US" w:eastAsia="ru-RU"/>
        </w:rPr>
        <w:br w:type="page"/>
      </w:r>
    </w:p>
    <w:p w:rsidR="005856D5" w:rsidRPr="005856D5" w:rsidRDefault="004147E8" w:rsidP="005856D5">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w:t>
      </w:r>
      <w:r w:rsidR="005856D5" w:rsidRPr="005856D5">
        <w:rPr>
          <w:rFonts w:ascii="Times New Roman" w:hAnsi="Times New Roman"/>
          <w:color w:val="000000"/>
          <w:sz w:val="28"/>
          <w:szCs w:val="28"/>
          <w:lang w:val="en-US" w:eastAsia="ru-RU"/>
        </w:rPr>
        <w:t>To master the theoretical foundations of the classification of pharmaceutical factors and be able to use them to predict the distribution of substances, effects on the body and bioavailability.</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 xml:space="preserve">Basic concepts: </w:t>
      </w:r>
      <w:r w:rsidRPr="005856D5">
        <w:rPr>
          <w:rFonts w:ascii="Times New Roman" w:hAnsi="Times New Roman"/>
          <w:color w:val="000000"/>
          <w:sz w:val="28"/>
          <w:szCs w:val="28"/>
          <w:lang w:val="en-US" w:eastAsia="ru-RU"/>
        </w:rPr>
        <w:t>Excipients, crystalline modifications.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 xml:space="preserve">Equipment: </w:t>
      </w:r>
      <w:r w:rsidRPr="005856D5">
        <w:rPr>
          <w:rFonts w:ascii="Times New Roman" w:hAnsi="Times New Roman"/>
          <w:color w:val="000000"/>
          <w:sz w:val="28"/>
          <w:szCs w:val="28"/>
          <w:lang w:val="en-US" w:eastAsia="ru-RU"/>
        </w:rPr>
        <w:t>according to the requirements of Good Pharmacy Practice (GPP).</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Study time: 2.0</w:t>
      </w:r>
    </w:p>
    <w:p w:rsidR="005856D5" w:rsidRPr="005856D5" w:rsidRDefault="005856D5" w:rsidP="005856D5">
      <w:pPr>
        <w:spacing w:after="0" w:line="240" w:lineRule="auto"/>
        <w:jc w:val="center"/>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Plan</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I. Organizational moment.</w:t>
      </w:r>
    </w:p>
    <w:p w:rsidR="005856D5" w:rsidRPr="005856D5" w:rsidRDefault="005856D5" w:rsidP="005856D5">
      <w:pPr>
        <w:spacing w:after="0" w:line="240" w:lineRule="auto"/>
        <w:jc w:val="both"/>
        <w:rPr>
          <w:rFonts w:ascii="Calibri" w:hAnsi="Calibri" w:cs="Calibri"/>
          <w:color w:val="000000"/>
          <w:sz w:val="28"/>
          <w:szCs w:val="28"/>
          <w:lang w:val="en-US" w:eastAsia="ru-RU"/>
        </w:rPr>
      </w:pP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ІІ. Control of basic knowledge</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Requirements for theoretical knowledge: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Pharmaceutical factors influencing the therapeutic efficacy of drugs: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1) Physical state of active substances and polymorphism;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2) Excipients (physical condition, origin and quantity);</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The physical state of the active substance can also affect the rate of its dissolution, absorption, the degree of activity and toxicity. Therefore, in each case, the starting substance is ground to such an extent that provides optimal therapeutic and minimal unwanted side effects of drugs. For example, calciferol is able to be absorbed and have a therapeutic effect only when its particle size is less than 10 microns. At the same time, the reduction of erythromycin particles leads to a decrease in its antimicrobial activity, and the micronized form of sulfonamide powder significantly increases the undesirable nephrotoxic effect.</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The drug substance can be represented by several crystalline modifications, each of which has specific properties (physical and pharmacotherapeutic). The same drug substance in the crystalline state may have a different spectrum of action than in the amorphous form. In addition, different types of crystal structure of the same drug act differently. For example, the duration of action of a suspension of microcrystalline form of insulin is almost twice as long as a suspension of insulin of amorphous form.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The stability and effectiveness of the drug depend on the crystal modification. Crystal modifications, which are characterized by greater solubility in physiological fluids and better absorption, are usually less stable. The ability of the same substance to form several crystalline modifications, which differ in terms of crystal structure and, as a consequence, are characterized by different physical properties is called polymorphism. Obtaining a polymorphic modification of the substance determines a set of external conditions, of which the best studied - the temperature factor, the nature of the solvent, its presence or absence, the introduction of various excipients in dosage forms, drying, pressure. In two or more crystalline modifications there are 30% of all organic substances. Two different polymorphic forms of riboflavin were discovered by Shimizu in 1956. These forms differ in physical and chemical properties. Metastable form dissolves at a concentration of 1200 mg / l, stable - 60 mg / l. 49 polymorphic modifications are known for sulfonamides, and about 120 for </w:t>
      </w:r>
      <w:r w:rsidRPr="005856D5">
        <w:rPr>
          <w:rFonts w:ascii="Times New Roman" w:hAnsi="Times New Roman"/>
          <w:color w:val="000000"/>
          <w:sz w:val="28"/>
          <w:szCs w:val="28"/>
          <w:lang w:val="en-US" w:eastAsia="ru-RU"/>
        </w:rPr>
        <w:lastRenderedPageBreak/>
        <w:t>antibiotics. Sertraline hydrochloride has 5 polymorphic modifications, each of which has different antidepressant activity.</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Excipients also affect the efficacy and bioavailability of drugs. Excipients are a large conditional group of components that are part of pharmaceuticals (except</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active substance), which, in turn, are determined by the purpose of their use in the manufacture of drugs: the creation of a certain pharmaceutical form or therapeutic system, giving them certain properties (shelf life, action, consistency, etc.) or to optimize technological processes (creating a shell, coating etc.). Scientific substantiation of rational use of excipients is important during the development of the composition of any drug, for example, for the purpose of their production, prolongation of action, stability, etc. As a peculiar component of drugs, they are in constant contact with the active substances and, depending on certain conditions, can often determine the cause of therapeutic inequality, pharmacokinetics and other properties (technological, consumer, economic) characteristics of pharmaceuticals.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Didactic units: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-Physical state of active substances and</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polymorphism;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excipients;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i/>
          <w:iCs/>
          <w:color w:val="000000"/>
          <w:sz w:val="28"/>
          <w:szCs w:val="28"/>
          <w:lang w:val="en-US" w:eastAsia="ru-RU"/>
        </w:rPr>
        <w:t>Answer the question:</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1. Pharmaceutical factors that impact on therapeutic efficacy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drugs: constant and variable; their classification.</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2. Variable pharmaceutical factors.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3. The physical state of drugs and its effect on the rate of their release</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and absorption from drugs.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4. The influence of the degree of dispersion of drugs and excipients that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used in the production of powders for bioavailability and stability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medicines.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5. The role of excipients in the technology of dosage forms and their classification.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6. The influence of the nature of excipients on the rate of absorption of drugs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drugs, the effectiveness of various dosage forms and their stability.</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7. Dependence of therapeutic efficacy of drugs on pharmaceutical technology.</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8. Impact of simple chemical modification of medicinal substances on their biological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accessibility.</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i/>
          <w:iCs/>
          <w:color w:val="000000"/>
          <w:sz w:val="28"/>
          <w:szCs w:val="28"/>
          <w:lang w:val="en-US" w:eastAsia="ru-RU"/>
        </w:rPr>
        <w:t>Solve the test:</w:t>
      </w:r>
    </w:p>
    <w:p w:rsidR="005856D5" w:rsidRPr="005856D5" w:rsidRDefault="005856D5" w:rsidP="005856D5">
      <w:pPr>
        <w:numPr>
          <w:ilvl w:val="0"/>
          <w:numId w:val="1"/>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For the patient it is necessary to prepare an ointment containing ephedrine hydrochloride, novocaine, zinc oxide on a water-emulsion basis. Specify the correct sequence of introduction of components at manufacturing of such basis: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Zinc oxide, base, ephedrine hydrochloride, glycerin, novocaine, water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Zinc oxide, base, ephedrine hydrochloride, novocaine, water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Zinc oxide, water, base, ephedrine hydrochloride, novocaine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lastRenderedPageBreak/>
        <w:t>D. Zinc oxide, ephedrine hydrochloride, novocaine, base, water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Zinc oxide, water, glycerin, base, ephedrine hydrochloride, novocaine</w:t>
      </w:r>
    </w:p>
    <w:p w:rsidR="005856D5" w:rsidRPr="005856D5" w:rsidRDefault="005856D5" w:rsidP="005856D5">
      <w:pPr>
        <w:numPr>
          <w:ilvl w:val="0"/>
          <w:numId w:val="2"/>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prepares an ointment containing 1% novocaine. How should novocaine be added to a hydrophobic base?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Dissolve in purified water, emulsify with anhydrous lanolin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Dissolve in ethyl alcohol, add Vaseline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Grind with Vaseline oil, add Vaseline.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Grind with alcohol or ether, emulsify with anhydrous lanolin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Grind with glycerin, add Vaseline</w:t>
      </w:r>
    </w:p>
    <w:p w:rsidR="005856D5" w:rsidRPr="005856D5" w:rsidRDefault="005856D5" w:rsidP="005856D5">
      <w:pPr>
        <w:numPr>
          <w:ilvl w:val="0"/>
          <w:numId w:val="3"/>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prepares powders with a substance that is easily sprayed. Specify the following substance: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Calcium chloride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Calcium gluconate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Bromocamphor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Bismuth nitrate basic</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Barbamyl</w:t>
      </w:r>
    </w:p>
    <w:p w:rsidR="005856D5" w:rsidRPr="005856D5" w:rsidRDefault="005856D5" w:rsidP="005856D5">
      <w:pPr>
        <w:numPr>
          <w:ilvl w:val="0"/>
          <w:numId w:val="4"/>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In the pharmaceutical industry, hard gelatin capsules are obtained, the walls of which are thin and brittle. At what stage of the technological process are violations of technological regimes?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at the stage of manufacturing (forming) gelatin shells of capsules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at the stage of manufacturing gelatinous mass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at the stage of pressing</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at the stage of encapsulation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at the stage of coating</w:t>
      </w:r>
    </w:p>
    <w:p w:rsidR="005856D5" w:rsidRPr="005856D5" w:rsidRDefault="005856D5" w:rsidP="005856D5">
      <w:pPr>
        <w:numPr>
          <w:ilvl w:val="0"/>
          <w:numId w:val="5"/>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At high concentrations of emulsifier type o / v in drugs, it tends to:</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accelerate absorption due to the formation of micellar complexes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slow down the absorption due to the formation of micellar complexes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increase the solubility of insoluble substances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affect the polymorphism of LR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affect a simple chemical modification</w:t>
      </w:r>
    </w:p>
    <w:p w:rsidR="005856D5" w:rsidRPr="005856D5" w:rsidRDefault="005856D5" w:rsidP="005856D5">
      <w:pPr>
        <w:numPr>
          <w:ilvl w:val="0"/>
          <w:numId w:val="6"/>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When preparing powders in pharmacies take into account the physico-chemical properties of individual ingredients. Indicate which drug substance is mixed with the powder mass without additional grinding:</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Camphor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lastRenderedPageBreak/>
        <w:t>B. Starch</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Menthol</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Salicylic acid</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Streptocide</w:t>
      </w:r>
    </w:p>
    <w:p w:rsidR="005856D5" w:rsidRPr="005856D5" w:rsidRDefault="005856D5" w:rsidP="005856D5">
      <w:pPr>
        <w:numPr>
          <w:ilvl w:val="0"/>
          <w:numId w:val="7"/>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At low concentrations of emulsifier type o / v in drugs, it tends to:</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accelerate absorption due to the formation of micellar complexes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slow down the absorption due to the formation of micellar complexes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increase the solubility of insoluble substances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affect the polymorphism of LR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affect a simple chemical modification</w:t>
      </w:r>
    </w:p>
    <w:p w:rsidR="005856D5" w:rsidRPr="005856D5" w:rsidRDefault="005856D5" w:rsidP="005856D5">
      <w:pPr>
        <w:numPr>
          <w:ilvl w:val="0"/>
          <w:numId w:val="8"/>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When preparing a carbopol base, what should be the pH?</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2</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4</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6</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7</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10</w:t>
      </w:r>
    </w:p>
    <w:p w:rsidR="005856D5" w:rsidRPr="005856D5" w:rsidRDefault="005856D5" w:rsidP="005856D5">
      <w:pPr>
        <w:numPr>
          <w:ilvl w:val="0"/>
          <w:numId w:val="9"/>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In preparing the powders, the pharmacist used a substance that changes under the action of carbon dioxide. Which capsules should be used for packaging:</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Cardboard</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Waxed</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Paper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Cellophane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Semi-parchment</w:t>
      </w:r>
    </w:p>
    <w:p w:rsidR="005856D5" w:rsidRPr="005856D5" w:rsidRDefault="005856D5" w:rsidP="005856D5">
      <w:pPr>
        <w:numPr>
          <w:ilvl w:val="0"/>
          <w:numId w:val="10"/>
        </w:numPr>
        <w:spacing w:before="100" w:beforeAutospacing="1" w:after="100" w:afterAutospacing="1" w:line="240" w:lineRule="auto"/>
        <w:ind w:left="0"/>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When preparing a powder of 1.0 difficult-to-grind substance, the pharmacist used 5 drops of ethyl alcohol. Specify this substance: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Salicylic acid</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Xeroform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Iodine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Porcelain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Phenylsalicylate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III. Formation of professional skills, abilities: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3.1.content of tasks: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Complete an individual task set by the teacher:</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1. Give examples of the use of prodrugs in medical practice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Illustrate the equations of the reaction of release of the drug from them and determine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lastRenderedPageBreak/>
        <w:t>conditions necessary for this.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 xml:space="preserve">2. To make the forecast of distribution of substance and influence on an organism on the basis                   </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received data.</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3.2.</w:t>
      </w:r>
      <w:r w:rsidRPr="005856D5">
        <w:rPr>
          <w:rFonts w:ascii="Times New Roman" w:hAnsi="Times New Roman"/>
          <w:b/>
          <w:bCs/>
          <w:color w:val="000000"/>
          <w:sz w:val="28"/>
          <w:szCs w:val="28"/>
          <w:lang w:val="en-US" w:eastAsia="ru-RU"/>
        </w:rPr>
        <w:t>recommendations (instructions) for performing tasks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According to the course of practical training to carry out registration of the individual task in a workbook.</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3.3.requirements for work results, including before registration</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In accordance with the recommendations (instructions) for the tasks.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3.4.control materials for the final stage of the lesson: tasks, tasks, tests, etc .:</w:t>
      </w:r>
    </w:p>
    <w:p w:rsidR="005856D5" w:rsidRPr="005856D5" w:rsidRDefault="005856D5" w:rsidP="005856D5">
      <w:pPr>
        <w:numPr>
          <w:ilvl w:val="0"/>
          <w:numId w:val="11"/>
        </w:numPr>
        <w:spacing w:before="100" w:beforeAutospacing="1" w:after="100" w:afterAutospacing="1" w:line="240" w:lineRule="auto"/>
        <w:ind w:left="0" w:firstLine="567"/>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When preparing powders with this substance, the pharmacist used separate scales, a separate mortar and a separate workplace. Specify the substance for which this technology is characteristic</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Sulfur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Copper sulfate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Talc</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Etacredine lactate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White clay</w:t>
      </w:r>
    </w:p>
    <w:p w:rsidR="005856D5" w:rsidRPr="005856D5" w:rsidRDefault="005856D5" w:rsidP="005856D5">
      <w:pPr>
        <w:numPr>
          <w:ilvl w:val="0"/>
          <w:numId w:val="12"/>
        </w:numPr>
        <w:spacing w:before="100" w:beforeAutospacing="1" w:after="100" w:afterAutospacing="1" w:line="240" w:lineRule="auto"/>
        <w:ind w:left="0" w:firstLine="567"/>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When preparing powders with this substance, the pharmacist used separate scales, a separate mortar and a separate workplace. Specify the substance for which the following technology is characteristic:</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Magnesium oxide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Copper sulfate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Routine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Bismuth subnitrate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Potassium permanganate</w:t>
      </w:r>
    </w:p>
    <w:p w:rsidR="005856D5" w:rsidRPr="005856D5" w:rsidRDefault="005856D5" w:rsidP="005856D5">
      <w:pPr>
        <w:numPr>
          <w:ilvl w:val="0"/>
          <w:numId w:val="13"/>
        </w:numPr>
        <w:spacing w:before="100" w:beforeAutospacing="1" w:after="100" w:afterAutospacing="1" w:line="240" w:lineRule="auto"/>
        <w:ind w:left="0" w:firstLine="567"/>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pharmacist-technologist prepares an emulsion ointment for the nose, which includes diphenhydramine and protargol. He mixed the prescribed drugs in a mortar, dissolved in water and emulsified the solution with anhydrous lanolin. Evaluate the actions of the pharmacist.</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The pharmacist did the right thing</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It is necessary to separately dissolve and emulsify substances and add them to the ointment base.</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Diphenhydramine and collargol are incompatible</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This solution must be heated in a water bath and then emulsified</w:t>
      </w:r>
    </w:p>
    <w:p w:rsidR="005856D5" w:rsidRPr="005856D5" w:rsidRDefault="005856D5" w:rsidP="005856D5">
      <w:pPr>
        <w:spacing w:after="0" w:line="240" w:lineRule="auto"/>
        <w:ind w:left="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Vaseline should be emulsified</w:t>
      </w:r>
    </w:p>
    <w:p w:rsidR="005856D5" w:rsidRPr="005856D5" w:rsidRDefault="005856D5" w:rsidP="005856D5">
      <w:pPr>
        <w:numPr>
          <w:ilvl w:val="0"/>
          <w:numId w:val="14"/>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lastRenderedPageBreak/>
        <w:t>The third-year student asked the undergraduate student, "In what package are easily degradable substances released from the pharmacy?" Enter the correct answer: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Paper bags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Glass jars with corks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Plastic boxes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Waxed capsules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Cardboard boxes</w:t>
      </w:r>
    </w:p>
    <w:p w:rsidR="005856D5" w:rsidRPr="005856D5" w:rsidRDefault="005856D5" w:rsidP="005856D5">
      <w:pPr>
        <w:numPr>
          <w:ilvl w:val="0"/>
          <w:numId w:val="15"/>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third-year student asked the undergraduate student, "What drugs are added last without grinding?" Enter the correct answer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Glucose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Milk sugar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Magnesium oxide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Menthol</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Camphor</w:t>
      </w:r>
    </w:p>
    <w:p w:rsidR="005856D5" w:rsidRPr="005856D5" w:rsidRDefault="005856D5" w:rsidP="005856D5">
      <w:pPr>
        <w:numPr>
          <w:ilvl w:val="0"/>
          <w:numId w:val="16"/>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In ointments-suspensions drugs are rubbed with a liquid related to the ointment base, if the concentration of the ointment:</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Less than 5%</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More than 5%</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More than 10%</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More than 15%</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More than 25%</w:t>
      </w:r>
    </w:p>
    <w:p w:rsidR="005856D5" w:rsidRPr="005856D5" w:rsidRDefault="005856D5" w:rsidP="005856D5">
      <w:pPr>
        <w:numPr>
          <w:ilvl w:val="0"/>
          <w:numId w:val="17"/>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gave for analysis the prepared suspension ointment (up to 5%). How to determine the homogeneity of suspension ointments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When considering 4 samples on a glass slide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When rubbing in a mortar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When examining samples through a microscope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When smeared on the back of the palm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When dissolved in vitro</w:t>
      </w:r>
    </w:p>
    <w:p w:rsidR="005856D5" w:rsidRPr="005856D5" w:rsidRDefault="005856D5" w:rsidP="005856D5">
      <w:pPr>
        <w:numPr>
          <w:ilvl w:val="0"/>
          <w:numId w:val="18"/>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prepares a dermatological ointment. Specify the substance that must be introduced into the ointment base in the form of an aqueous solution:</w:t>
      </w:r>
    </w:p>
    <w:p w:rsidR="005856D5" w:rsidRPr="00C15CDE" w:rsidRDefault="005856D5" w:rsidP="005856D5">
      <w:pPr>
        <w:spacing w:after="0" w:line="240" w:lineRule="auto"/>
        <w:ind w:firstLine="567"/>
        <w:jc w:val="both"/>
        <w:rPr>
          <w:rFonts w:ascii="Calibri" w:hAnsi="Calibri" w:cs="Calibri"/>
          <w:color w:val="000000"/>
          <w:sz w:val="28"/>
          <w:szCs w:val="28"/>
          <w:lang w:val="de-DE" w:eastAsia="ru-RU"/>
        </w:rPr>
      </w:pPr>
      <w:r w:rsidRPr="00C15CDE">
        <w:rPr>
          <w:rFonts w:ascii="Times New Roman" w:hAnsi="Times New Roman"/>
          <w:color w:val="000000"/>
          <w:sz w:val="28"/>
          <w:szCs w:val="28"/>
          <w:lang w:val="de-DE" w:eastAsia="ru-RU"/>
        </w:rPr>
        <w:t>A. Bismuthsubnitrate</w:t>
      </w:r>
    </w:p>
    <w:p w:rsidR="005856D5" w:rsidRPr="00C15CDE" w:rsidRDefault="005856D5" w:rsidP="005856D5">
      <w:pPr>
        <w:spacing w:after="0" w:line="240" w:lineRule="auto"/>
        <w:ind w:firstLine="567"/>
        <w:jc w:val="both"/>
        <w:rPr>
          <w:rFonts w:ascii="Calibri" w:hAnsi="Calibri" w:cs="Calibri"/>
          <w:color w:val="000000"/>
          <w:sz w:val="28"/>
          <w:szCs w:val="28"/>
          <w:lang w:val="de-DE" w:eastAsia="ru-RU"/>
        </w:rPr>
      </w:pPr>
      <w:r w:rsidRPr="00C15CDE">
        <w:rPr>
          <w:rFonts w:ascii="Times New Roman" w:hAnsi="Times New Roman"/>
          <w:color w:val="000000"/>
          <w:sz w:val="28"/>
          <w:szCs w:val="28"/>
          <w:lang w:val="de-DE" w:eastAsia="ru-RU"/>
        </w:rPr>
        <w:t>B. Starch</w:t>
      </w:r>
    </w:p>
    <w:p w:rsidR="005856D5" w:rsidRPr="00C15CDE" w:rsidRDefault="005856D5" w:rsidP="005856D5">
      <w:pPr>
        <w:spacing w:after="0" w:line="240" w:lineRule="auto"/>
        <w:ind w:firstLine="567"/>
        <w:jc w:val="both"/>
        <w:rPr>
          <w:rFonts w:ascii="Calibri" w:hAnsi="Calibri" w:cs="Calibri"/>
          <w:color w:val="000000"/>
          <w:sz w:val="28"/>
          <w:szCs w:val="28"/>
          <w:lang w:val="de-DE" w:eastAsia="ru-RU"/>
        </w:rPr>
      </w:pPr>
      <w:r w:rsidRPr="00C15CDE">
        <w:rPr>
          <w:rFonts w:ascii="Times New Roman" w:hAnsi="Times New Roman"/>
          <w:color w:val="000000"/>
          <w:sz w:val="28"/>
          <w:szCs w:val="28"/>
          <w:lang w:val="de-DE" w:eastAsia="ru-RU"/>
        </w:rPr>
        <w:t>C. Xeroform</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Ephedrine hydrochloride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lastRenderedPageBreak/>
        <w:t>E. Wax</w:t>
      </w:r>
    </w:p>
    <w:p w:rsidR="005856D5" w:rsidRPr="005856D5" w:rsidRDefault="005856D5" w:rsidP="005856D5">
      <w:pPr>
        <w:numPr>
          <w:ilvl w:val="0"/>
          <w:numId w:val="19"/>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prepares a dermatological ointment. Specify the substance that must be introduced into the ointment base in the form of an aqueous-glycerol solution: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Protargol</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Camphor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Starch</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Zinc oxide</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Menthol</w:t>
      </w:r>
    </w:p>
    <w:p w:rsidR="005856D5" w:rsidRPr="005856D5" w:rsidRDefault="005856D5" w:rsidP="005856D5">
      <w:pPr>
        <w:numPr>
          <w:ilvl w:val="0"/>
          <w:numId w:val="20"/>
        </w:numPr>
        <w:spacing w:before="100" w:beforeAutospacing="1" w:after="100" w:afterAutospacing="1" w:line="240" w:lineRule="auto"/>
        <w:ind w:left="792"/>
        <w:jc w:val="both"/>
        <w:rPr>
          <w:rFonts w:ascii="Times New Roman" w:hAnsi="Times New Roman"/>
          <w:color w:val="000000"/>
          <w:sz w:val="28"/>
          <w:szCs w:val="28"/>
          <w:lang w:val="en-US" w:eastAsia="ru-RU"/>
        </w:rPr>
      </w:pPr>
      <w:r w:rsidRPr="005856D5">
        <w:rPr>
          <w:rFonts w:ascii="Times New Roman" w:hAnsi="Times New Roman"/>
          <w:color w:val="000000"/>
          <w:sz w:val="28"/>
          <w:szCs w:val="28"/>
          <w:lang w:val="en-US" w:eastAsia="ru-RU"/>
        </w:rPr>
        <w:t>The pharmacist prepares an emulsion ointment. What determines the type of emulsion system - in / about, about / in</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A. The number of bases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B. The nature of the emulsifier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C. The amount of water</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D. The ratio of ingredients</w:t>
      </w:r>
    </w:p>
    <w:p w:rsidR="005856D5" w:rsidRPr="005856D5" w:rsidRDefault="005856D5" w:rsidP="005856D5">
      <w:pPr>
        <w:spacing w:after="0" w:line="240" w:lineRule="auto"/>
        <w:ind w:firstLine="567"/>
        <w:jc w:val="both"/>
        <w:rPr>
          <w:rFonts w:ascii="Calibri" w:hAnsi="Calibri" w:cs="Calibri"/>
          <w:color w:val="000000"/>
          <w:sz w:val="28"/>
          <w:szCs w:val="28"/>
          <w:lang w:val="en-US" w:eastAsia="ru-RU"/>
        </w:rPr>
      </w:pPr>
      <w:r w:rsidRPr="005856D5">
        <w:rPr>
          <w:rFonts w:ascii="Times New Roman" w:hAnsi="Times New Roman"/>
          <w:color w:val="000000"/>
          <w:sz w:val="28"/>
          <w:szCs w:val="28"/>
          <w:lang w:val="en-US" w:eastAsia="ru-RU"/>
        </w:rPr>
        <w:t>E The order of mixing the ingredients</w:t>
      </w:r>
    </w:p>
    <w:p w:rsidR="005856D5" w:rsidRPr="005856D5" w:rsidRDefault="005856D5" w:rsidP="005856D5">
      <w:pPr>
        <w:spacing w:after="0" w:line="240" w:lineRule="auto"/>
        <w:jc w:val="both"/>
        <w:rPr>
          <w:rFonts w:ascii="Calibri" w:hAnsi="Calibri" w:cs="Calibri"/>
          <w:color w:val="000000"/>
          <w:sz w:val="28"/>
          <w:szCs w:val="28"/>
          <w:lang w:val="en-US" w:eastAsia="ru-RU"/>
        </w:rPr>
      </w:pPr>
      <w:r w:rsidRPr="005856D5">
        <w:rPr>
          <w:rFonts w:ascii="Times New Roman" w:hAnsi="Times New Roman"/>
          <w:b/>
          <w:bCs/>
          <w:color w:val="000000"/>
          <w:sz w:val="28"/>
          <w:szCs w:val="28"/>
          <w:lang w:val="en-US" w:eastAsia="ru-RU"/>
        </w:rPr>
        <w:t>IV. Summing up</w:t>
      </w:r>
    </w:p>
    <w:p w:rsidR="005856D5" w:rsidRPr="0082625C" w:rsidRDefault="005856D5" w:rsidP="005856D5">
      <w:pPr>
        <w:spacing w:after="0" w:line="240" w:lineRule="auto"/>
        <w:jc w:val="center"/>
        <w:rPr>
          <w:rFonts w:ascii="Calibri" w:hAnsi="Calibri" w:cs="Calibri"/>
          <w:color w:val="000000"/>
          <w:sz w:val="28"/>
          <w:szCs w:val="28"/>
          <w:lang w:val="en-US" w:eastAsia="ru-RU"/>
        </w:rPr>
      </w:pPr>
    </w:p>
    <w:p w:rsidR="005856D5" w:rsidRPr="0082625C" w:rsidRDefault="005856D5" w:rsidP="005856D5">
      <w:pPr>
        <w:spacing w:after="0" w:line="240" w:lineRule="auto"/>
        <w:jc w:val="center"/>
        <w:rPr>
          <w:rFonts w:ascii="Calibri" w:hAnsi="Calibri" w:cs="Calibri"/>
          <w:color w:val="000000"/>
          <w:sz w:val="28"/>
          <w:szCs w:val="28"/>
          <w:lang w:val="en-US" w:eastAsia="ru-RU"/>
        </w:rPr>
      </w:pPr>
      <w:r w:rsidRPr="0082625C">
        <w:rPr>
          <w:rFonts w:ascii="Times New Roman" w:hAnsi="Times New Roman"/>
          <w:b/>
          <w:bCs/>
          <w:color w:val="000000"/>
          <w:sz w:val="28"/>
          <w:szCs w:val="28"/>
          <w:lang w:val="en-US" w:eastAsia="ru-RU"/>
        </w:rPr>
        <w:t>List of recommended reading</w:t>
      </w:r>
    </w:p>
    <w:p w:rsidR="005856D5" w:rsidRPr="0082625C" w:rsidRDefault="005856D5" w:rsidP="005856D5">
      <w:pPr>
        <w:shd w:val="clear" w:color="auto" w:fill="FFFFFF"/>
        <w:spacing w:after="0" w:line="240" w:lineRule="auto"/>
        <w:jc w:val="center"/>
        <w:rPr>
          <w:rFonts w:ascii="Times New Roman" w:hAnsi="Times New Roman"/>
          <w:b/>
          <w:sz w:val="28"/>
          <w:szCs w:val="28"/>
          <w:lang w:val="en-US"/>
        </w:rPr>
      </w:pPr>
      <w:r w:rsidRPr="0082625C">
        <w:rPr>
          <w:rFonts w:ascii="Times New Roman" w:hAnsi="Times New Roman"/>
          <w:b/>
          <w:sz w:val="28"/>
          <w:szCs w:val="28"/>
          <w:lang w:val="en-US"/>
        </w:rPr>
        <w:t>Main:</w:t>
      </w:r>
    </w:p>
    <w:p w:rsidR="0038497D" w:rsidRDefault="0038497D" w:rsidP="0038497D">
      <w:pPr>
        <w:tabs>
          <w:tab w:val="left" w:pos="426"/>
          <w:tab w:val="left" w:pos="993"/>
        </w:tabs>
        <w:spacing w:after="0" w:line="240" w:lineRule="auto"/>
        <w:ind w:firstLine="567"/>
        <w:jc w:val="both"/>
        <w:rPr>
          <w:rFonts w:ascii="Times New Roman" w:hAnsi="Times New Roman"/>
          <w:sz w:val="28"/>
          <w:szCs w:val="28"/>
          <w:lang w:val="uk-UA"/>
        </w:rPr>
      </w:pPr>
      <w:r w:rsidRPr="0038497D">
        <w:rPr>
          <w:rFonts w:ascii="Times New Roman" w:hAnsi="Times New Roman"/>
          <w:sz w:val="28"/>
          <w:szCs w:val="28"/>
        </w:rPr>
        <w:t xml:space="preserve">1. </w:t>
      </w:r>
      <w:r w:rsidRPr="00610AFA">
        <w:rPr>
          <w:rFonts w:ascii="Times New Roman" w:hAnsi="Times New Roman"/>
          <w:sz w:val="28"/>
          <w:szCs w:val="28"/>
        </w:rPr>
        <w:t>Біофармація</w:t>
      </w:r>
      <w:r w:rsidRPr="0038497D">
        <w:rPr>
          <w:rFonts w:ascii="Times New Roman" w:hAnsi="Times New Roman"/>
          <w:sz w:val="28"/>
          <w:szCs w:val="28"/>
        </w:rPr>
        <w:t xml:space="preserve"> : </w:t>
      </w:r>
      <w:r w:rsidRPr="00610AFA">
        <w:rPr>
          <w:rFonts w:ascii="Times New Roman" w:hAnsi="Times New Roman"/>
          <w:sz w:val="28"/>
          <w:szCs w:val="28"/>
        </w:rPr>
        <w:t>підруч</w:t>
      </w:r>
      <w:r w:rsidRPr="0038497D">
        <w:rPr>
          <w:rFonts w:ascii="Times New Roman" w:hAnsi="Times New Roman"/>
          <w:sz w:val="28"/>
          <w:szCs w:val="28"/>
        </w:rPr>
        <w:t xml:space="preserve">. </w:t>
      </w:r>
      <w:r w:rsidRPr="00610AFA">
        <w:rPr>
          <w:rFonts w:ascii="Times New Roman" w:hAnsi="Times New Roman"/>
          <w:sz w:val="28"/>
          <w:szCs w:val="28"/>
        </w:rPr>
        <w:t>для</w:t>
      </w:r>
      <w:r w:rsidRPr="0038497D">
        <w:rPr>
          <w:rFonts w:ascii="Times New Roman" w:hAnsi="Times New Roman"/>
          <w:sz w:val="28"/>
          <w:szCs w:val="28"/>
        </w:rPr>
        <w:t xml:space="preserve"> </w:t>
      </w:r>
      <w:r w:rsidRPr="00610AFA">
        <w:rPr>
          <w:rFonts w:ascii="Times New Roman" w:hAnsi="Times New Roman"/>
          <w:sz w:val="28"/>
          <w:szCs w:val="28"/>
        </w:rPr>
        <w:t>студентів</w:t>
      </w:r>
      <w:r w:rsidRPr="0038497D">
        <w:rPr>
          <w:rFonts w:ascii="Times New Roman" w:hAnsi="Times New Roman"/>
          <w:sz w:val="28"/>
          <w:szCs w:val="28"/>
        </w:rPr>
        <w:t xml:space="preserve"> </w:t>
      </w:r>
      <w:r w:rsidRPr="00610AFA">
        <w:rPr>
          <w:rFonts w:ascii="Times New Roman" w:hAnsi="Times New Roman"/>
          <w:sz w:val="28"/>
          <w:szCs w:val="28"/>
        </w:rPr>
        <w:t>закл</w:t>
      </w:r>
      <w:r w:rsidRPr="0038497D">
        <w:rPr>
          <w:rFonts w:ascii="Times New Roman" w:hAnsi="Times New Roman"/>
          <w:sz w:val="28"/>
          <w:szCs w:val="28"/>
        </w:rPr>
        <w:t xml:space="preserve">. </w:t>
      </w:r>
      <w:r w:rsidRPr="00610AFA">
        <w:rPr>
          <w:rFonts w:ascii="Times New Roman" w:hAnsi="Times New Roman"/>
          <w:sz w:val="28"/>
          <w:szCs w:val="28"/>
        </w:rPr>
        <w:t>вищ</w:t>
      </w:r>
      <w:r w:rsidRPr="0038497D">
        <w:rPr>
          <w:rFonts w:ascii="Times New Roman" w:hAnsi="Times New Roman"/>
          <w:sz w:val="28"/>
          <w:szCs w:val="28"/>
        </w:rPr>
        <w:t xml:space="preserve">. </w:t>
      </w:r>
      <w:r w:rsidRPr="00610AFA">
        <w:rPr>
          <w:rFonts w:ascii="Times New Roman" w:hAnsi="Times New Roman"/>
          <w:sz w:val="28"/>
          <w:szCs w:val="28"/>
        </w:rPr>
        <w:t>освіти</w:t>
      </w:r>
      <w:r w:rsidRPr="0038497D">
        <w:rPr>
          <w:rFonts w:ascii="Times New Roman" w:hAnsi="Times New Roman"/>
          <w:sz w:val="28"/>
          <w:szCs w:val="28"/>
        </w:rPr>
        <w:t xml:space="preserve"> / </w:t>
      </w:r>
      <w:r w:rsidRPr="00610AFA">
        <w:rPr>
          <w:rFonts w:ascii="Times New Roman" w:hAnsi="Times New Roman"/>
          <w:sz w:val="28"/>
          <w:szCs w:val="28"/>
        </w:rPr>
        <w:t>О</w:t>
      </w:r>
      <w:r w:rsidRPr="0038497D">
        <w:rPr>
          <w:rFonts w:ascii="Times New Roman" w:hAnsi="Times New Roman"/>
          <w:sz w:val="28"/>
          <w:szCs w:val="28"/>
        </w:rPr>
        <w:t xml:space="preserve">. </w:t>
      </w:r>
      <w:r w:rsidRPr="00610AFA">
        <w:rPr>
          <w:rFonts w:ascii="Times New Roman" w:hAnsi="Times New Roman"/>
          <w:sz w:val="28"/>
          <w:szCs w:val="28"/>
        </w:rPr>
        <w:t>І</w:t>
      </w:r>
      <w:r w:rsidRPr="0038497D">
        <w:rPr>
          <w:rFonts w:ascii="Times New Roman" w:hAnsi="Times New Roman"/>
          <w:sz w:val="28"/>
          <w:szCs w:val="28"/>
        </w:rPr>
        <w:t xml:space="preserve">. </w:t>
      </w:r>
      <w:r w:rsidRPr="00610AFA">
        <w:rPr>
          <w:rFonts w:ascii="Times New Roman" w:hAnsi="Times New Roman"/>
          <w:sz w:val="28"/>
          <w:szCs w:val="28"/>
        </w:rPr>
        <w:t>Тихонов</w:t>
      </w:r>
      <w:r w:rsidRPr="0038497D">
        <w:rPr>
          <w:rFonts w:ascii="Times New Roman" w:hAnsi="Times New Roman"/>
          <w:sz w:val="28"/>
          <w:szCs w:val="28"/>
        </w:rPr>
        <w:t xml:space="preserve"> [</w:t>
      </w:r>
      <w:r w:rsidRPr="00610AFA">
        <w:rPr>
          <w:rFonts w:ascii="Times New Roman" w:hAnsi="Times New Roman"/>
          <w:sz w:val="28"/>
          <w:szCs w:val="28"/>
        </w:rPr>
        <w:t>та</w:t>
      </w:r>
      <w:r w:rsidRPr="0038497D">
        <w:rPr>
          <w:rFonts w:ascii="Times New Roman" w:hAnsi="Times New Roman"/>
          <w:sz w:val="28"/>
          <w:szCs w:val="28"/>
        </w:rPr>
        <w:t xml:space="preserve"> </w:t>
      </w:r>
      <w:r w:rsidRPr="00610AFA">
        <w:rPr>
          <w:rFonts w:ascii="Times New Roman" w:hAnsi="Times New Roman"/>
          <w:sz w:val="28"/>
          <w:szCs w:val="28"/>
        </w:rPr>
        <w:t>ін</w:t>
      </w:r>
      <w:r w:rsidRPr="0038497D">
        <w:rPr>
          <w:rFonts w:ascii="Times New Roman" w:hAnsi="Times New Roman"/>
          <w:sz w:val="28"/>
          <w:szCs w:val="28"/>
        </w:rPr>
        <w:t xml:space="preserve">.] ; </w:t>
      </w:r>
      <w:r w:rsidRPr="00610AFA">
        <w:rPr>
          <w:rFonts w:ascii="Times New Roman" w:hAnsi="Times New Roman"/>
          <w:sz w:val="28"/>
          <w:szCs w:val="28"/>
        </w:rPr>
        <w:t>за</w:t>
      </w:r>
      <w:r w:rsidRPr="0038497D">
        <w:rPr>
          <w:rFonts w:ascii="Times New Roman" w:hAnsi="Times New Roman"/>
          <w:sz w:val="28"/>
          <w:szCs w:val="28"/>
        </w:rPr>
        <w:t xml:space="preserve"> </w:t>
      </w:r>
      <w:r w:rsidRPr="00610AFA">
        <w:rPr>
          <w:rFonts w:ascii="Times New Roman" w:hAnsi="Times New Roman"/>
          <w:sz w:val="28"/>
          <w:szCs w:val="28"/>
        </w:rPr>
        <w:t>ред</w:t>
      </w:r>
      <w:r w:rsidRPr="0038497D">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38497D" w:rsidRDefault="0038497D" w:rsidP="003849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38497D" w:rsidRDefault="0038497D" w:rsidP="003849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38497D" w:rsidRDefault="0038497D" w:rsidP="003849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 4. Настанова СТ-Н МОЗУ 42-7.2:2018 Лікарські засоби дослідження біоеквівалентності. – Київ, 2018. – 77 с. </w:t>
      </w:r>
    </w:p>
    <w:p w:rsidR="005856D5" w:rsidRPr="0038497D" w:rsidRDefault="005856D5" w:rsidP="005856D5">
      <w:pPr>
        <w:tabs>
          <w:tab w:val="left" w:pos="426"/>
          <w:tab w:val="left" w:pos="993"/>
        </w:tabs>
        <w:spacing w:after="0" w:line="240" w:lineRule="auto"/>
        <w:ind w:firstLine="567"/>
        <w:jc w:val="both"/>
        <w:rPr>
          <w:rFonts w:ascii="Calibri" w:hAnsi="Calibri" w:cs="Calibri"/>
          <w:color w:val="000000"/>
          <w:sz w:val="28"/>
          <w:szCs w:val="28"/>
          <w:lang w:val="uk-UA" w:eastAsia="ru-RU"/>
        </w:rPr>
      </w:pPr>
    </w:p>
    <w:p w:rsidR="005856D5" w:rsidRPr="0038497D" w:rsidRDefault="005856D5" w:rsidP="005856D5">
      <w:pPr>
        <w:spacing w:after="0" w:line="240" w:lineRule="auto"/>
        <w:ind w:left="1287"/>
        <w:jc w:val="both"/>
        <w:rPr>
          <w:rFonts w:ascii="Calibri" w:hAnsi="Calibri" w:cs="Calibri"/>
          <w:color w:val="000000"/>
          <w:sz w:val="28"/>
          <w:szCs w:val="28"/>
          <w:lang w:eastAsia="ru-RU"/>
        </w:rPr>
      </w:pPr>
    </w:p>
    <w:p w:rsidR="005A2E5B" w:rsidRPr="0038497D" w:rsidRDefault="005A2E5B" w:rsidP="005856D5"/>
    <w:sectPr w:rsidR="005A2E5B" w:rsidRPr="0038497D" w:rsidSect="005856D5">
      <w:headerReference w:type="default" r:id="rId10"/>
      <w:footerReference w:type="default" r:id="rId11"/>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39D" w:rsidRDefault="00BC539D" w:rsidP="00C15CDE">
      <w:pPr>
        <w:spacing w:after="0" w:line="240" w:lineRule="auto"/>
      </w:pPr>
      <w:r>
        <w:separator/>
      </w:r>
    </w:p>
  </w:endnote>
  <w:endnote w:type="continuationSeparator" w:id="1">
    <w:p w:rsidR="00BC539D" w:rsidRDefault="00BC539D" w:rsidP="00C15C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rPr>
      <w:id w:val="-531487699"/>
    </w:sdtPr>
    <w:sdtContent>
      <w:p w:rsidR="00C15CDE" w:rsidRPr="00C15CDE" w:rsidRDefault="00C15CDE" w:rsidP="00C15CDE">
        <w:pPr>
          <w:pStyle w:val="a5"/>
          <w:ind w:firstLine="567"/>
          <w:rPr>
            <w:rFonts w:ascii="Times New Roman" w:hAnsi="Times New Roman"/>
            <w:sz w:val="24"/>
            <w:szCs w:val="24"/>
            <w:lang w:val="en-US"/>
          </w:rPr>
        </w:pPr>
        <w:r w:rsidRPr="00AE3814">
          <w:rPr>
            <w:rFonts w:ascii="Times New Roman" w:hAnsi="Times New Roman"/>
            <w:sz w:val="24"/>
            <w:szCs w:val="24"/>
            <w:lang w:val="en-US"/>
          </w:rPr>
          <w:t xml:space="preserve">Methodical development of practices, OPP "Pharmacy, industrial pharmacy", 5th year, Faculty of Pharmacy, Discipline: "Biopharmacy" p. </w:t>
        </w:r>
        <w:r w:rsidR="00F54B5D" w:rsidRPr="00AE3814">
          <w:rPr>
            <w:rFonts w:ascii="Times New Roman" w:hAnsi="Times New Roman"/>
          </w:rPr>
          <w:fldChar w:fldCharType="begin"/>
        </w:r>
        <w:r w:rsidRPr="00AE3814">
          <w:rPr>
            <w:rFonts w:ascii="Times New Roman" w:hAnsi="Times New Roman"/>
            <w:lang w:val="en-US"/>
          </w:rPr>
          <w:instrText>PAGE   \* MERGEFORMAT</w:instrText>
        </w:r>
        <w:r w:rsidR="00F54B5D" w:rsidRPr="00AE3814">
          <w:rPr>
            <w:rFonts w:ascii="Times New Roman" w:hAnsi="Times New Roman"/>
          </w:rPr>
          <w:fldChar w:fldCharType="separate"/>
        </w:r>
        <w:r w:rsidR="0038497D" w:rsidRPr="0038497D">
          <w:rPr>
            <w:rFonts w:ascii="Times New Roman" w:hAnsi="Times New Roman"/>
            <w:noProof/>
          </w:rPr>
          <w:t>9</w:t>
        </w:r>
        <w:r w:rsidR="00F54B5D" w:rsidRPr="00AE3814">
          <w:rPr>
            <w:rFonts w:ascii="Times New Roman" w:hAnsi="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39D" w:rsidRDefault="00BC539D" w:rsidP="00C15CDE">
      <w:pPr>
        <w:spacing w:after="0" w:line="240" w:lineRule="auto"/>
      </w:pPr>
      <w:r>
        <w:separator/>
      </w:r>
    </w:p>
  </w:footnote>
  <w:footnote w:type="continuationSeparator" w:id="1">
    <w:p w:rsidR="00BC539D" w:rsidRDefault="00BC539D" w:rsidP="00C15CD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CDE" w:rsidRPr="00C15CDE" w:rsidRDefault="00C15CDE" w:rsidP="00C15CDE">
    <w:pPr>
      <w:pStyle w:val="a5"/>
      <w:ind w:firstLine="567"/>
      <w:jc w:val="both"/>
      <w:rPr>
        <w:rFonts w:ascii="Times New Roman" w:hAnsi="Times New Roman"/>
        <w:i/>
        <w:color w:val="000000"/>
        <w:sz w:val="24"/>
        <w:szCs w:val="24"/>
        <w:lang w:val="en-US" w:eastAsia="ru-RU"/>
      </w:rPr>
    </w:pPr>
    <w:r w:rsidRPr="00C15CDE">
      <w:rPr>
        <w:rFonts w:ascii="Times New Roman" w:hAnsi="Times New Roman"/>
        <w:i/>
        <w:sz w:val="24"/>
        <w:szCs w:val="24"/>
        <w:lang w:val="en-US"/>
      </w:rPr>
      <w:t xml:space="preserve">ONMedU, Department of Drug Technology Practice №13. </w:t>
    </w:r>
    <w:r w:rsidRPr="00C15CDE">
      <w:rPr>
        <w:rFonts w:ascii="Times New Roman" w:hAnsi="Times New Roman"/>
        <w:i/>
        <w:color w:val="000000"/>
        <w:sz w:val="24"/>
        <w:szCs w:val="24"/>
        <w:lang w:val="en-US" w:eastAsia="ru-RU"/>
      </w:rPr>
      <w:t>«</w:t>
    </w:r>
    <w:r w:rsidRPr="00C15CDE">
      <w:rPr>
        <w:rFonts w:ascii="Times New Roman" w:hAnsi="Times New Roman"/>
        <w:bCs/>
        <w:i/>
        <w:color w:val="000000"/>
        <w:sz w:val="24"/>
        <w:szCs w:val="24"/>
        <w:lang w:val="en-US" w:eastAsia="ru-RU"/>
      </w:rPr>
      <w:t xml:space="preserve">Classification of pharmaceutical factors: physical state; excipients (their nature, physical condition and quantity). </w:t>
    </w:r>
    <w:r w:rsidRPr="00C15CDE">
      <w:rPr>
        <w:rFonts w:ascii="Times New Roman" w:hAnsi="Times New Roman"/>
        <w:i/>
        <w:color w:val="000000"/>
        <w:sz w:val="24"/>
        <w:szCs w:val="24"/>
        <w:lang w:val="en-US" w:eastAsia="ru-RU"/>
      </w:rPr>
      <w:t>»</w:t>
    </w:r>
  </w:p>
  <w:p w:rsidR="00C15CDE" w:rsidRPr="00C15CDE" w:rsidRDefault="00C15CDE" w:rsidP="00C15CDE">
    <w:pPr>
      <w:pStyle w:val="a5"/>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A07A85"/>
    <w:multiLevelType w:val="multilevel"/>
    <w:tmpl w:val="2A2EACF6"/>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70B3606"/>
    <w:multiLevelType w:val="multilevel"/>
    <w:tmpl w:val="90ACC12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90D3977"/>
    <w:multiLevelType w:val="multilevel"/>
    <w:tmpl w:val="A79A2BC0"/>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D1A2768"/>
    <w:multiLevelType w:val="multilevel"/>
    <w:tmpl w:val="F34C3332"/>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1225F86"/>
    <w:multiLevelType w:val="multilevel"/>
    <w:tmpl w:val="C9B601CE"/>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4550F53"/>
    <w:multiLevelType w:val="multilevel"/>
    <w:tmpl w:val="05EC8D82"/>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C4227AD"/>
    <w:multiLevelType w:val="multilevel"/>
    <w:tmpl w:val="BB5E797E"/>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35083562"/>
    <w:multiLevelType w:val="multilevel"/>
    <w:tmpl w:val="7138D56A"/>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6CE2875"/>
    <w:multiLevelType w:val="multilevel"/>
    <w:tmpl w:val="B490A844"/>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A51751C"/>
    <w:multiLevelType w:val="multilevel"/>
    <w:tmpl w:val="287EF298"/>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D866DC0"/>
    <w:multiLevelType w:val="multilevel"/>
    <w:tmpl w:val="3D88DCC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474A127A"/>
    <w:multiLevelType w:val="multilevel"/>
    <w:tmpl w:val="029EBBE8"/>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52B125F3"/>
    <w:multiLevelType w:val="multilevel"/>
    <w:tmpl w:val="2A8A5B2A"/>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99159C8"/>
    <w:multiLevelType w:val="multilevel"/>
    <w:tmpl w:val="232CB990"/>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5C4F7DCA"/>
    <w:multiLevelType w:val="multilevel"/>
    <w:tmpl w:val="E092EA4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D5B2486"/>
    <w:multiLevelType w:val="multilevel"/>
    <w:tmpl w:val="D99490C4"/>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658D215F"/>
    <w:multiLevelType w:val="multilevel"/>
    <w:tmpl w:val="C7907B54"/>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6F236A4B"/>
    <w:multiLevelType w:val="multilevel"/>
    <w:tmpl w:val="095C48AC"/>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0996E0B"/>
    <w:multiLevelType w:val="multilevel"/>
    <w:tmpl w:val="E88CC1D2"/>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70F6501B"/>
    <w:multiLevelType w:val="multilevel"/>
    <w:tmpl w:val="DBE2219C"/>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61840A0"/>
    <w:multiLevelType w:val="multilevel"/>
    <w:tmpl w:val="F8149DFA"/>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7C68063F"/>
    <w:multiLevelType w:val="multilevel"/>
    <w:tmpl w:val="B428E07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0"/>
  </w:num>
  <w:num w:numId="2">
    <w:abstractNumId w:val="9"/>
  </w:num>
  <w:num w:numId="3">
    <w:abstractNumId w:val="4"/>
  </w:num>
  <w:num w:numId="4">
    <w:abstractNumId w:val="11"/>
  </w:num>
  <w:num w:numId="5">
    <w:abstractNumId w:val="6"/>
  </w:num>
  <w:num w:numId="6">
    <w:abstractNumId w:val="8"/>
  </w:num>
  <w:num w:numId="7">
    <w:abstractNumId w:val="13"/>
  </w:num>
  <w:num w:numId="8">
    <w:abstractNumId w:val="3"/>
  </w:num>
  <w:num w:numId="9">
    <w:abstractNumId w:val="7"/>
  </w:num>
  <w:num w:numId="10">
    <w:abstractNumId w:val="15"/>
  </w:num>
  <w:num w:numId="11">
    <w:abstractNumId w:val="1"/>
  </w:num>
  <w:num w:numId="12">
    <w:abstractNumId w:val="12"/>
  </w:num>
  <w:num w:numId="13">
    <w:abstractNumId w:val="19"/>
  </w:num>
  <w:num w:numId="14">
    <w:abstractNumId w:val="18"/>
  </w:num>
  <w:num w:numId="15">
    <w:abstractNumId w:val="0"/>
  </w:num>
  <w:num w:numId="16">
    <w:abstractNumId w:val="17"/>
  </w:num>
  <w:num w:numId="17">
    <w:abstractNumId w:val="5"/>
  </w:num>
  <w:num w:numId="18">
    <w:abstractNumId w:val="2"/>
  </w:num>
  <w:num w:numId="19">
    <w:abstractNumId w:val="16"/>
  </w:num>
  <w:num w:numId="20">
    <w:abstractNumId w:val="20"/>
  </w:num>
  <w:num w:numId="21">
    <w:abstractNumId w:val="21"/>
  </w:num>
  <w:num w:numId="22">
    <w:abstractNumId w:val="14"/>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5856D5"/>
    <w:rsid w:val="00211782"/>
    <w:rsid w:val="00304D9F"/>
    <w:rsid w:val="0038497D"/>
    <w:rsid w:val="004147E8"/>
    <w:rsid w:val="0043717E"/>
    <w:rsid w:val="005856D5"/>
    <w:rsid w:val="005A2E5B"/>
    <w:rsid w:val="005C6050"/>
    <w:rsid w:val="0082625C"/>
    <w:rsid w:val="0098182F"/>
    <w:rsid w:val="00A84B96"/>
    <w:rsid w:val="00B80F1A"/>
    <w:rsid w:val="00BC539D"/>
    <w:rsid w:val="00BC784D"/>
    <w:rsid w:val="00C15CDE"/>
    <w:rsid w:val="00F54B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B5D"/>
    <w:rPr>
      <w:rFonts w:cs="Times New Roman"/>
    </w:rPr>
  </w:style>
  <w:style w:type="paragraph" w:styleId="5">
    <w:name w:val="heading 5"/>
    <w:basedOn w:val="a"/>
    <w:link w:val="50"/>
    <w:uiPriority w:val="9"/>
    <w:qFormat/>
    <w:rsid w:val="005856D5"/>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5856D5"/>
    <w:rPr>
      <w:rFonts w:ascii="Times New Roman" w:hAnsi="Times New Roman" w:cs="Times New Roman"/>
      <w:b/>
      <w:bCs/>
      <w:sz w:val="20"/>
      <w:szCs w:val="20"/>
      <w:lang w:eastAsia="ru-RU"/>
    </w:rPr>
  </w:style>
  <w:style w:type="paragraph" w:styleId="a3">
    <w:name w:val="Normal (Web)"/>
    <w:basedOn w:val="a"/>
    <w:uiPriority w:val="99"/>
    <w:semiHidden/>
    <w:unhideWhenUsed/>
    <w:rsid w:val="005856D5"/>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5856D5"/>
    <w:pPr>
      <w:ind w:left="720"/>
      <w:contextualSpacing/>
    </w:pPr>
    <w:rPr>
      <w:rFonts w:eastAsiaTheme="minorEastAsia"/>
      <w:lang w:eastAsia="ru-RU"/>
    </w:rPr>
  </w:style>
  <w:style w:type="paragraph" w:styleId="a5">
    <w:name w:val="header"/>
    <w:basedOn w:val="a"/>
    <w:link w:val="a6"/>
    <w:uiPriority w:val="99"/>
    <w:unhideWhenUsed/>
    <w:rsid w:val="00C15CD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15CDE"/>
    <w:rPr>
      <w:rFonts w:cs="Times New Roman"/>
    </w:rPr>
  </w:style>
  <w:style w:type="paragraph" w:styleId="a7">
    <w:name w:val="footer"/>
    <w:basedOn w:val="a"/>
    <w:link w:val="a8"/>
    <w:uiPriority w:val="99"/>
    <w:unhideWhenUsed/>
    <w:rsid w:val="00C15CD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15CDE"/>
    <w:rPr>
      <w:rFonts w:cs="Times New Roman"/>
    </w:rPr>
  </w:style>
  <w:style w:type="paragraph" w:styleId="a9">
    <w:name w:val="Balloon Text"/>
    <w:basedOn w:val="a"/>
    <w:link w:val="aa"/>
    <w:uiPriority w:val="99"/>
    <w:semiHidden/>
    <w:unhideWhenUsed/>
    <w:rsid w:val="0038497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3849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6803798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1940</Words>
  <Characters>11059</Characters>
  <Application>Microsoft Office Word</Application>
  <DocSecurity>0</DocSecurity>
  <Lines>92</Lines>
  <Paragraphs>25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12974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2022-02-16T15:03:00Z</cp:lastPrinted>
  <dcterms:created xsi:type="dcterms:W3CDTF">2021-10-20T05:42:00Z</dcterms:created>
  <dcterms:modified xsi:type="dcterms:W3CDTF">2023-02-02T17:31:00Z</dcterms:modified>
</cp:coreProperties>
</file>