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5955" w:rsidRPr="005E5955" w:rsidRDefault="005E5955" w:rsidP="005E5955">
      <w:pPr>
        <w:spacing w:after="0" w:line="240" w:lineRule="auto"/>
        <w:jc w:val="center"/>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ODESSA NATIONAL MEDICAL UNIVERSITY</w:t>
      </w:r>
    </w:p>
    <w:p w:rsidR="005E5955" w:rsidRPr="005E5955" w:rsidRDefault="005E5955" w:rsidP="005E5955">
      <w:pPr>
        <w:spacing w:after="0" w:line="240" w:lineRule="auto"/>
        <w:jc w:val="center"/>
        <w:outlineLvl w:val="4"/>
        <w:rPr>
          <w:rFonts w:ascii="Calibri" w:hAnsi="Calibri" w:cs="Calibri"/>
          <w:b/>
          <w:bCs/>
          <w:color w:val="000000"/>
          <w:sz w:val="28"/>
          <w:szCs w:val="28"/>
          <w:lang w:val="en-US" w:eastAsia="ru-RU"/>
        </w:rPr>
      </w:pPr>
      <w:r w:rsidRPr="005E5955">
        <w:rPr>
          <w:rFonts w:ascii="Times New Roman" w:hAnsi="Times New Roman"/>
          <w:b/>
          <w:bCs/>
          <w:caps/>
          <w:color w:val="000000"/>
          <w:sz w:val="28"/>
          <w:szCs w:val="28"/>
          <w:lang w:val="en-US" w:eastAsia="ru-RU"/>
        </w:rPr>
        <w:t>DEPARTMENT OF DRUGS TECHNOLOGY</w:t>
      </w:r>
    </w:p>
    <w:p w:rsidR="005E5955" w:rsidRPr="005E5955" w:rsidRDefault="005E5955" w:rsidP="005E5955">
      <w:pPr>
        <w:spacing w:after="0" w:line="240" w:lineRule="auto"/>
        <w:jc w:val="center"/>
        <w:rPr>
          <w:rFonts w:ascii="Calibri" w:hAnsi="Calibri" w:cs="Calibri"/>
          <w:color w:val="000000"/>
          <w:sz w:val="28"/>
          <w:szCs w:val="28"/>
          <w:lang w:val="en-US" w:eastAsia="ru-RU"/>
        </w:rPr>
      </w:pPr>
    </w:p>
    <w:p w:rsidR="008B79C3" w:rsidRPr="005A59BB" w:rsidRDefault="008B79C3" w:rsidP="008B79C3">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8B79C3" w:rsidRPr="005A59BB" w:rsidRDefault="008B79C3" w:rsidP="008B79C3">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8B79C3" w:rsidRPr="005A59BB" w:rsidRDefault="00D92053" w:rsidP="008B79C3">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8B79C3" w:rsidRPr="005A59BB">
        <w:rPr>
          <w:rFonts w:ascii="Times New Roman" w:hAnsi="Times New Roman"/>
          <w:color w:val="000000"/>
          <w:sz w:val="28"/>
          <w:szCs w:val="28"/>
          <w:lang w:val="en-US" w:eastAsia="ru-RU"/>
        </w:rPr>
        <w:t>(BorisyukI.Yu.)</w:t>
      </w:r>
    </w:p>
    <w:p w:rsidR="008B79C3" w:rsidRPr="005A59BB" w:rsidRDefault="008B79C3" w:rsidP="008B79C3">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8B79C3" w:rsidRPr="005A59BB" w:rsidRDefault="005D5339" w:rsidP="008B79C3">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8B79C3" w:rsidRPr="005A59BB">
        <w:rPr>
          <w:rFonts w:ascii="Times New Roman" w:hAnsi="Times New Roman"/>
          <w:color w:val="000000"/>
          <w:sz w:val="28"/>
          <w:szCs w:val="28"/>
          <w:lang w:val="en-US" w:eastAsia="ru-RU"/>
        </w:rPr>
        <w:t>»</w:t>
      </w:r>
      <w:r w:rsidR="008B79C3">
        <w:rPr>
          <w:rFonts w:ascii="Times New Roman" w:hAnsi="Times New Roman"/>
          <w:color w:val="000000"/>
          <w:sz w:val="28"/>
          <w:szCs w:val="28"/>
          <w:lang w:val="en-US" w:eastAsia="ru-RU"/>
        </w:rPr>
        <w:t xml:space="preserve"> a</w:t>
      </w:r>
      <w:r w:rsidR="008B79C3"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8B79C3">
        <w:rPr>
          <w:rFonts w:ascii="Times New Roman" w:hAnsi="Times New Roman"/>
          <w:color w:val="000000"/>
          <w:sz w:val="28"/>
          <w:szCs w:val="28"/>
          <w:lang w:val="en-US" w:eastAsia="ru-RU"/>
        </w:rPr>
        <w:t xml:space="preserve"> y.</w:t>
      </w:r>
    </w:p>
    <w:p w:rsidR="005E5955" w:rsidRPr="005E5955" w:rsidRDefault="005E5955" w:rsidP="005E5955">
      <w:pPr>
        <w:spacing w:after="0" w:line="240" w:lineRule="auto"/>
        <w:rPr>
          <w:rFonts w:ascii="Calibri" w:hAnsi="Calibri" w:cs="Calibri"/>
          <w:color w:val="000000"/>
          <w:sz w:val="28"/>
          <w:szCs w:val="28"/>
          <w:lang w:val="en-US" w:eastAsia="ru-RU"/>
        </w:rPr>
      </w:pPr>
    </w:p>
    <w:p w:rsidR="005E5955" w:rsidRPr="005E5955" w:rsidRDefault="005E5955" w:rsidP="005E5955">
      <w:pPr>
        <w:spacing w:after="0" w:line="240" w:lineRule="auto"/>
        <w:rPr>
          <w:rFonts w:ascii="Calibri" w:hAnsi="Calibri" w:cs="Calibri"/>
          <w:color w:val="000000"/>
          <w:sz w:val="28"/>
          <w:szCs w:val="28"/>
          <w:lang w:val="en-US" w:eastAsia="ru-RU"/>
        </w:rPr>
      </w:pPr>
    </w:p>
    <w:p w:rsidR="005E5955" w:rsidRPr="005E5955" w:rsidRDefault="005E5955" w:rsidP="005E5955">
      <w:pPr>
        <w:spacing w:after="0" w:line="240" w:lineRule="auto"/>
        <w:rPr>
          <w:rFonts w:ascii="Calibri" w:hAnsi="Calibri" w:cs="Calibri"/>
          <w:color w:val="000000"/>
          <w:sz w:val="28"/>
          <w:szCs w:val="28"/>
          <w:lang w:val="en-US" w:eastAsia="ru-RU"/>
        </w:rPr>
      </w:pPr>
    </w:p>
    <w:p w:rsidR="005E5955" w:rsidRPr="005E5955" w:rsidRDefault="005E5955" w:rsidP="005E5955">
      <w:pPr>
        <w:spacing w:after="0" w:line="322" w:lineRule="atLeast"/>
        <w:jc w:val="center"/>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METHODICAL DEVELOPMENT OF PRACTICAL LESSON</w:t>
      </w:r>
    </w:p>
    <w:p w:rsidR="005E5955" w:rsidRPr="005E5955" w:rsidRDefault="005E5955" w:rsidP="005E5955">
      <w:pPr>
        <w:spacing w:after="0" w:line="322" w:lineRule="atLeast"/>
        <w:jc w:val="both"/>
        <w:rPr>
          <w:rFonts w:ascii="Calibri" w:hAnsi="Calibri" w:cs="Calibri"/>
          <w:color w:val="000000"/>
          <w:sz w:val="28"/>
          <w:szCs w:val="28"/>
          <w:lang w:val="en-US" w:eastAsia="ru-RU"/>
        </w:rPr>
      </w:pPr>
    </w:p>
    <w:p w:rsidR="005E5955" w:rsidRPr="005E5955" w:rsidRDefault="005E5955" w:rsidP="005E5955">
      <w:pPr>
        <w:spacing w:after="0" w:line="322" w:lineRule="atLeast"/>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 xml:space="preserve">Course: </w:t>
      </w:r>
      <w:r w:rsidRPr="005E5955">
        <w:rPr>
          <w:rFonts w:ascii="Times New Roman" w:hAnsi="Times New Roman"/>
          <w:color w:val="000000"/>
          <w:sz w:val="28"/>
          <w:szCs w:val="28"/>
          <w:u w:val="single"/>
          <w:lang w:val="en-US" w:eastAsia="ru-RU"/>
        </w:rPr>
        <w:t>5</w:t>
      </w:r>
      <w:r w:rsidRPr="005E5955">
        <w:rPr>
          <w:rFonts w:ascii="Times New Roman" w:hAnsi="Times New Roman"/>
          <w:color w:val="000000"/>
          <w:sz w:val="28"/>
          <w:szCs w:val="28"/>
          <w:lang w:val="en-US" w:eastAsia="ru-RU"/>
        </w:rPr>
        <w:t xml:space="preserve">Faculty: </w:t>
      </w:r>
      <w:r w:rsidRPr="005E5955">
        <w:rPr>
          <w:rFonts w:ascii="Times New Roman" w:hAnsi="Times New Roman"/>
          <w:color w:val="000000"/>
          <w:sz w:val="28"/>
          <w:szCs w:val="28"/>
          <w:u w:val="single"/>
          <w:lang w:val="en-US" w:eastAsia="ru-RU"/>
        </w:rPr>
        <w:t>Pharmaceutical</w:t>
      </w:r>
    </w:p>
    <w:p w:rsidR="005E5955" w:rsidRPr="005E5955" w:rsidRDefault="005E5955" w:rsidP="005E5955">
      <w:pPr>
        <w:spacing w:after="0" w:line="322" w:lineRule="atLeast"/>
        <w:jc w:val="center"/>
        <w:rPr>
          <w:rFonts w:ascii="Calibri" w:hAnsi="Calibri" w:cs="Calibri"/>
          <w:color w:val="000000"/>
          <w:sz w:val="28"/>
          <w:szCs w:val="28"/>
          <w:lang w:val="en-US" w:eastAsia="ru-RU"/>
        </w:rPr>
      </w:pPr>
    </w:p>
    <w:p w:rsidR="005E5955" w:rsidRPr="005E5955" w:rsidRDefault="005E5955" w:rsidP="005E5955">
      <w:pPr>
        <w:spacing w:after="0" w:line="322" w:lineRule="atLeast"/>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Course: Biopharmacy</w:t>
      </w:r>
    </w:p>
    <w:p w:rsidR="005E5955" w:rsidRPr="005E5955" w:rsidRDefault="005E5955" w:rsidP="005E5955">
      <w:pPr>
        <w:spacing w:after="0" w:line="322" w:lineRule="atLeast"/>
        <w:jc w:val="both"/>
        <w:rPr>
          <w:rFonts w:ascii="Calibri" w:hAnsi="Calibri" w:cs="Calibri"/>
          <w:color w:val="000000"/>
          <w:sz w:val="28"/>
          <w:szCs w:val="28"/>
          <w:lang w:val="en-US" w:eastAsia="ru-RU"/>
        </w:rPr>
      </w:pPr>
    </w:p>
    <w:p w:rsidR="005E5955" w:rsidRPr="005E5955" w:rsidRDefault="008B79C3" w:rsidP="005E5955">
      <w:pPr>
        <w:spacing w:after="0" w:line="322" w:lineRule="atLeast"/>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 xml:space="preserve">Practical lesson №14 Topic: </w:t>
      </w:r>
      <w:r>
        <w:rPr>
          <w:rFonts w:ascii="Times New Roman" w:hAnsi="Times New Roman"/>
          <w:color w:val="000000"/>
          <w:sz w:val="28"/>
          <w:szCs w:val="28"/>
          <w:lang w:val="uk-UA" w:eastAsia="ru-RU"/>
        </w:rPr>
        <w:t>«</w:t>
      </w:r>
      <w:r w:rsidR="005E5955" w:rsidRPr="005E5955">
        <w:rPr>
          <w:rFonts w:ascii="Times New Roman" w:hAnsi="Times New Roman"/>
          <w:b/>
          <w:bCs/>
          <w:color w:val="000000"/>
          <w:sz w:val="28"/>
          <w:szCs w:val="28"/>
          <w:lang w:val="en-US" w:eastAsia="ru-RU"/>
        </w:rPr>
        <w:t xml:space="preserve">The choice of dosage form and route of administration of the drug into the body. </w:t>
      </w:r>
      <w:r w:rsidR="005E5955" w:rsidRPr="005E5955">
        <w:rPr>
          <w:rFonts w:ascii="Times New Roman" w:hAnsi="Times New Roman"/>
          <w:color w:val="000000"/>
          <w:sz w:val="28"/>
          <w:szCs w:val="28"/>
          <w:lang w:val="en-US" w:eastAsia="ru-RU"/>
        </w:rPr>
        <w:t>»</w:t>
      </w:r>
    </w:p>
    <w:p w:rsidR="005E5955" w:rsidRPr="005E5955" w:rsidRDefault="005E5955" w:rsidP="005E5955">
      <w:pPr>
        <w:spacing w:after="0" w:line="240" w:lineRule="auto"/>
        <w:jc w:val="both"/>
        <w:rPr>
          <w:rFonts w:ascii="Calibri" w:hAnsi="Calibri" w:cs="Calibri"/>
          <w:color w:val="000000"/>
          <w:sz w:val="28"/>
          <w:szCs w:val="28"/>
          <w:lang w:val="en-US" w:eastAsia="ru-RU"/>
        </w:rPr>
      </w:pPr>
    </w:p>
    <w:p w:rsidR="005E5955" w:rsidRPr="005E5955" w:rsidRDefault="005E5955" w:rsidP="005E5955">
      <w:pPr>
        <w:spacing w:after="0" w:line="240" w:lineRule="auto"/>
        <w:rPr>
          <w:rFonts w:ascii="Calibri" w:hAnsi="Calibri" w:cs="Calibri"/>
          <w:color w:val="000000"/>
          <w:sz w:val="28"/>
          <w:szCs w:val="28"/>
          <w:lang w:val="en-US" w:eastAsia="ru-RU"/>
        </w:rPr>
      </w:pPr>
    </w:p>
    <w:p w:rsidR="005E5955" w:rsidRPr="005E5955" w:rsidRDefault="005E5955" w:rsidP="005E5955">
      <w:pPr>
        <w:spacing w:after="0" w:line="240" w:lineRule="auto"/>
        <w:rPr>
          <w:rFonts w:ascii="Calibri" w:hAnsi="Calibri" w:cs="Calibri"/>
          <w:color w:val="000000"/>
          <w:sz w:val="28"/>
          <w:szCs w:val="28"/>
          <w:lang w:val="en-US" w:eastAsia="ru-RU"/>
        </w:rPr>
      </w:pPr>
    </w:p>
    <w:p w:rsidR="005E5955" w:rsidRPr="005E5955" w:rsidRDefault="005E5955" w:rsidP="005E5955">
      <w:pPr>
        <w:spacing w:after="0" w:line="240" w:lineRule="auto"/>
        <w:jc w:val="center"/>
        <w:rPr>
          <w:rFonts w:ascii="Calibri" w:hAnsi="Calibri" w:cs="Calibri"/>
          <w:color w:val="000000"/>
          <w:sz w:val="28"/>
          <w:szCs w:val="28"/>
          <w:lang w:val="en-US" w:eastAsia="ru-RU"/>
        </w:rPr>
      </w:pPr>
    </w:p>
    <w:p w:rsidR="008B79C3" w:rsidRPr="003160BA" w:rsidRDefault="008B79C3" w:rsidP="008B79C3">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8B79C3" w:rsidRPr="005A59BB" w:rsidRDefault="008B79C3" w:rsidP="008B79C3">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8B79C3" w:rsidRPr="005A59BB" w:rsidRDefault="00D92053" w:rsidP="008B79C3">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8B79C3">
        <w:rPr>
          <w:rFonts w:ascii="Times New Roman" w:hAnsi="Times New Roman"/>
          <w:color w:val="000000"/>
          <w:sz w:val="28"/>
          <w:szCs w:val="28"/>
          <w:lang w:val="en-US" w:eastAsia="ru-RU"/>
        </w:rPr>
        <w:t>(Fizor. N.S.</w:t>
      </w:r>
      <w:r w:rsidR="008B79C3" w:rsidRPr="005A59BB">
        <w:rPr>
          <w:rFonts w:ascii="Times New Roman" w:hAnsi="Times New Roman"/>
          <w:color w:val="000000"/>
          <w:sz w:val="28"/>
          <w:szCs w:val="28"/>
          <w:lang w:val="en-US" w:eastAsia="ru-RU"/>
        </w:rPr>
        <w:t>)</w:t>
      </w:r>
    </w:p>
    <w:p w:rsidR="008B79C3" w:rsidRPr="005A59BB" w:rsidRDefault="008B79C3" w:rsidP="008B79C3">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8B79C3" w:rsidRPr="003160BA" w:rsidRDefault="008B79C3" w:rsidP="008B79C3">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8B79C3" w:rsidRPr="005A59BB" w:rsidRDefault="005D5339" w:rsidP="008B79C3">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8B79C3" w:rsidRPr="005A59BB">
        <w:rPr>
          <w:rFonts w:ascii="Times New Roman" w:hAnsi="Times New Roman"/>
          <w:color w:val="000000"/>
          <w:sz w:val="28"/>
          <w:szCs w:val="28"/>
          <w:lang w:val="en-US" w:eastAsia="ru-RU"/>
        </w:rPr>
        <w:t>»</w:t>
      </w:r>
      <w:r w:rsidR="008B79C3">
        <w:rPr>
          <w:rFonts w:ascii="Times New Roman" w:hAnsi="Times New Roman"/>
          <w:color w:val="000000"/>
          <w:sz w:val="28"/>
          <w:szCs w:val="28"/>
          <w:lang w:val="en-US" w:eastAsia="ru-RU"/>
        </w:rPr>
        <w:t xml:space="preserve"> a</w:t>
      </w:r>
      <w:r w:rsidR="008B79C3" w:rsidRPr="0012435F">
        <w:rPr>
          <w:rFonts w:ascii="Times New Roman" w:hAnsi="Times New Roman"/>
          <w:color w:val="000000"/>
          <w:sz w:val="28"/>
          <w:szCs w:val="28"/>
          <w:lang w:val="en-US" w:eastAsia="ru-RU"/>
        </w:rPr>
        <w:t>ugust</w:t>
      </w:r>
      <w:r w:rsidR="008B79C3">
        <w:rPr>
          <w:rFonts w:ascii="Times New Roman" w:hAnsi="Times New Roman"/>
          <w:color w:val="000000"/>
          <w:sz w:val="28"/>
          <w:szCs w:val="28"/>
          <w:lang w:val="en-US" w:eastAsia="ru-RU"/>
        </w:rPr>
        <w:t>202</w:t>
      </w:r>
      <w:r>
        <w:rPr>
          <w:rFonts w:ascii="Times New Roman" w:hAnsi="Times New Roman"/>
          <w:color w:val="000000"/>
          <w:sz w:val="28"/>
          <w:szCs w:val="28"/>
          <w:lang w:val="uk-UA" w:eastAsia="ru-RU"/>
        </w:rPr>
        <w:t>2</w:t>
      </w:r>
      <w:r w:rsidR="008B79C3">
        <w:rPr>
          <w:rFonts w:ascii="Times New Roman" w:hAnsi="Times New Roman"/>
          <w:color w:val="000000"/>
          <w:sz w:val="28"/>
          <w:szCs w:val="28"/>
          <w:lang w:val="en-US" w:eastAsia="ru-RU"/>
        </w:rPr>
        <w:t xml:space="preserve"> y.</w:t>
      </w:r>
    </w:p>
    <w:p w:rsidR="008B79C3" w:rsidRPr="003160BA" w:rsidRDefault="008B79C3" w:rsidP="008B79C3">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5E5955" w:rsidRPr="005E5955" w:rsidRDefault="005E5955" w:rsidP="005E5955">
      <w:pPr>
        <w:spacing w:after="0" w:line="240" w:lineRule="auto"/>
        <w:ind w:firstLine="5103"/>
        <w:jc w:val="both"/>
        <w:rPr>
          <w:rFonts w:ascii="Calibri" w:hAnsi="Calibri" w:cs="Calibri"/>
          <w:color w:val="000000"/>
          <w:sz w:val="28"/>
          <w:szCs w:val="28"/>
          <w:lang w:val="en-US" w:eastAsia="ru-RU"/>
        </w:rPr>
      </w:pPr>
    </w:p>
    <w:p w:rsidR="005E5955" w:rsidRPr="005E5955" w:rsidRDefault="005E5955" w:rsidP="005E5955">
      <w:pPr>
        <w:spacing w:after="0" w:line="240" w:lineRule="auto"/>
        <w:ind w:firstLine="5812"/>
        <w:jc w:val="both"/>
        <w:rPr>
          <w:rFonts w:ascii="Calibri" w:hAnsi="Calibri" w:cs="Calibri"/>
          <w:color w:val="000000"/>
          <w:sz w:val="28"/>
          <w:szCs w:val="28"/>
          <w:lang w:val="en-US" w:eastAsia="ru-RU"/>
        </w:rPr>
      </w:pPr>
    </w:p>
    <w:p w:rsidR="005E5955" w:rsidRPr="005E5955" w:rsidRDefault="005E5955" w:rsidP="005E5955">
      <w:pPr>
        <w:spacing w:after="0" w:line="240" w:lineRule="auto"/>
        <w:ind w:firstLine="5812"/>
        <w:jc w:val="both"/>
        <w:rPr>
          <w:rFonts w:ascii="Calibri" w:hAnsi="Calibri" w:cs="Calibri"/>
          <w:color w:val="000000"/>
          <w:sz w:val="28"/>
          <w:szCs w:val="28"/>
          <w:lang w:val="en-US" w:eastAsia="ru-RU"/>
        </w:rPr>
      </w:pPr>
    </w:p>
    <w:p w:rsidR="005E5955" w:rsidRPr="005E5955" w:rsidRDefault="005E5955" w:rsidP="005E5955">
      <w:pPr>
        <w:spacing w:after="0" w:line="240" w:lineRule="auto"/>
        <w:ind w:firstLine="5812"/>
        <w:jc w:val="both"/>
        <w:rPr>
          <w:rFonts w:ascii="Calibri" w:hAnsi="Calibri" w:cs="Calibri"/>
          <w:color w:val="000000"/>
          <w:sz w:val="28"/>
          <w:szCs w:val="28"/>
          <w:lang w:val="en-US" w:eastAsia="ru-RU"/>
        </w:rPr>
      </w:pPr>
    </w:p>
    <w:p w:rsidR="005E5955" w:rsidRPr="005E5955" w:rsidRDefault="005E5955" w:rsidP="005E5955">
      <w:pPr>
        <w:spacing w:after="0" w:line="240" w:lineRule="auto"/>
        <w:ind w:firstLine="5812"/>
        <w:jc w:val="both"/>
        <w:rPr>
          <w:rFonts w:ascii="Calibri" w:hAnsi="Calibri" w:cs="Calibri"/>
          <w:color w:val="000000"/>
          <w:sz w:val="28"/>
          <w:szCs w:val="28"/>
          <w:lang w:val="en-US" w:eastAsia="ru-RU"/>
        </w:rPr>
      </w:pPr>
    </w:p>
    <w:p w:rsidR="005E5955" w:rsidRPr="005E5955" w:rsidRDefault="005E5955" w:rsidP="00D92053">
      <w:pPr>
        <w:spacing w:after="0" w:line="240" w:lineRule="auto"/>
        <w:ind w:firstLine="5812"/>
        <w:jc w:val="both"/>
        <w:rPr>
          <w:rFonts w:ascii="Calibri" w:hAnsi="Calibri" w:cs="Calibri"/>
          <w:color w:val="000000"/>
          <w:sz w:val="28"/>
          <w:szCs w:val="28"/>
          <w:lang w:val="en-US" w:eastAsia="ru-RU"/>
        </w:rPr>
      </w:pPr>
    </w:p>
    <w:p w:rsidR="005E5955" w:rsidRPr="005E5955" w:rsidRDefault="005E5955" w:rsidP="008B79C3">
      <w:pPr>
        <w:spacing w:after="0" w:line="240" w:lineRule="auto"/>
        <w:ind w:firstLine="5812"/>
        <w:jc w:val="both"/>
        <w:rPr>
          <w:rFonts w:ascii="Calibri" w:hAnsi="Calibri" w:cs="Calibri"/>
          <w:color w:val="000000"/>
          <w:sz w:val="28"/>
          <w:szCs w:val="28"/>
          <w:lang w:val="en-US" w:eastAsia="ru-RU"/>
        </w:rPr>
      </w:pPr>
    </w:p>
    <w:p w:rsidR="005E5955" w:rsidRPr="005E5955" w:rsidRDefault="007325D6" w:rsidP="008B79C3">
      <w:pPr>
        <w:spacing w:after="0" w:line="240" w:lineRule="auto"/>
        <w:jc w:val="center"/>
        <w:rPr>
          <w:rFonts w:ascii="Times New Roman" w:hAnsi="Times New Roman"/>
          <w:color w:val="000000"/>
          <w:sz w:val="28"/>
          <w:szCs w:val="28"/>
          <w:lang w:val="en-US" w:eastAsia="ru-RU"/>
        </w:rPr>
      </w:pPr>
      <w:r>
        <w:rPr>
          <w:rFonts w:ascii="Times New Roman" w:hAnsi="Times New Roman"/>
          <w:color w:val="000000"/>
          <w:sz w:val="28"/>
          <w:szCs w:val="28"/>
          <w:lang w:val="en-US" w:eastAsia="ru-RU"/>
        </w:rPr>
        <w:lastRenderedPageBreak/>
        <w:t>Odes</w:t>
      </w:r>
      <w:r w:rsidR="005D5339">
        <w:rPr>
          <w:rFonts w:ascii="Times New Roman" w:hAnsi="Times New Roman"/>
          <w:color w:val="000000"/>
          <w:sz w:val="28"/>
          <w:szCs w:val="28"/>
          <w:lang w:val="en-US" w:eastAsia="ru-RU"/>
        </w:rPr>
        <w:t>a – 202</w:t>
      </w:r>
      <w:r w:rsidR="005D5339">
        <w:rPr>
          <w:rFonts w:ascii="Times New Roman" w:hAnsi="Times New Roman"/>
          <w:color w:val="000000"/>
          <w:sz w:val="28"/>
          <w:szCs w:val="28"/>
          <w:lang w:val="uk-UA" w:eastAsia="ru-RU"/>
        </w:rPr>
        <w:t>2</w:t>
      </w:r>
      <w:bookmarkStart w:id="0" w:name="_GoBack"/>
      <w:bookmarkEnd w:id="0"/>
      <w:r w:rsidR="005E5955" w:rsidRPr="005E5955">
        <w:rPr>
          <w:rFonts w:ascii="Times New Roman" w:hAnsi="Times New Roman"/>
          <w:color w:val="000000"/>
          <w:sz w:val="28"/>
          <w:szCs w:val="28"/>
          <w:lang w:val="en-US" w:eastAsia="ru-RU"/>
        </w:rPr>
        <w:br w:type="page"/>
      </w:r>
    </w:p>
    <w:p w:rsidR="005E5955" w:rsidRPr="005E5955" w:rsidRDefault="00D92053" w:rsidP="008B79C3">
      <w:pPr>
        <w:spacing w:after="0" w:line="240" w:lineRule="auto"/>
        <w:jc w:val="both"/>
        <w:rPr>
          <w:rFonts w:ascii="Calibri" w:hAnsi="Calibri" w:cs="Calibri"/>
          <w:color w:val="000000"/>
          <w:sz w:val="28"/>
          <w:szCs w:val="28"/>
          <w:lang w:val="en-US" w:eastAsia="ru-RU"/>
        </w:rPr>
      </w:pPr>
      <w:r w:rsidRPr="002C149E">
        <w:rPr>
          <w:rFonts w:ascii="Times New Roman" w:hAnsi="Times New Roman"/>
          <w:b/>
          <w:bCs/>
          <w:color w:val="000000"/>
          <w:sz w:val="28"/>
          <w:szCs w:val="28"/>
          <w:lang w:val="en-US" w:eastAsia="ru-RU"/>
        </w:rPr>
        <w:lastRenderedPageBreak/>
        <w:t>The purpose of the lesson:</w:t>
      </w:r>
      <w:r w:rsidR="005E5955" w:rsidRPr="005E5955">
        <w:rPr>
          <w:rFonts w:ascii="Times New Roman" w:hAnsi="Times New Roman"/>
          <w:color w:val="000000"/>
          <w:sz w:val="28"/>
          <w:szCs w:val="28"/>
          <w:lang w:val="en-US" w:eastAsia="ru-RU"/>
        </w:rPr>
        <w:t xml:space="preserve">To be able to predict the possible impact of the dosage form and routes of administration of the drug on the kinetics of release and absorption of the active substance and its bioavailability </w:t>
      </w:r>
      <w:r w:rsidR="005E5955" w:rsidRPr="005E5955">
        <w:rPr>
          <w:rFonts w:ascii="Times New Roman" w:hAnsi="Times New Roman"/>
          <w:b/>
          <w:bCs/>
          <w:color w:val="000000"/>
          <w:sz w:val="28"/>
          <w:szCs w:val="28"/>
          <w:lang w:val="en-US" w:eastAsia="ru-RU"/>
        </w:rPr>
        <w:t>.</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 xml:space="preserve">Basic concepts: </w:t>
      </w:r>
      <w:r w:rsidRPr="005E5955">
        <w:rPr>
          <w:rFonts w:ascii="Times New Roman" w:hAnsi="Times New Roman"/>
          <w:color w:val="000000"/>
          <w:sz w:val="28"/>
          <w:szCs w:val="28"/>
          <w:lang w:val="en-US" w:eastAsia="ru-RU"/>
        </w:rPr>
        <w:t>Dosage form.</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 xml:space="preserve">Equipment: </w:t>
      </w:r>
      <w:r w:rsidRPr="005E5955">
        <w:rPr>
          <w:rFonts w:ascii="Times New Roman" w:hAnsi="Times New Roman"/>
          <w:color w:val="000000"/>
          <w:sz w:val="28"/>
          <w:szCs w:val="28"/>
          <w:lang w:val="en-US" w:eastAsia="ru-RU"/>
        </w:rPr>
        <w:t>according to the requirements of Good Pharmacy Practice (GPP).</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Study time: 2.0</w:t>
      </w:r>
    </w:p>
    <w:p w:rsidR="005E5955" w:rsidRPr="005E5955" w:rsidRDefault="005E5955" w:rsidP="005E5955">
      <w:pPr>
        <w:spacing w:after="0" w:line="240" w:lineRule="auto"/>
        <w:jc w:val="center"/>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Plan</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I. Organizational moment.</w:t>
      </w:r>
    </w:p>
    <w:p w:rsidR="005E5955" w:rsidRPr="005E5955" w:rsidRDefault="005E5955" w:rsidP="005E5955">
      <w:pPr>
        <w:spacing w:after="0" w:line="240" w:lineRule="auto"/>
        <w:jc w:val="both"/>
        <w:rPr>
          <w:rFonts w:ascii="Calibri" w:hAnsi="Calibri" w:cs="Calibri"/>
          <w:color w:val="000000"/>
          <w:sz w:val="28"/>
          <w:szCs w:val="28"/>
          <w:lang w:val="en-US" w:eastAsia="ru-RU"/>
        </w:rPr>
      </w:pP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ІІ. Control of basic knowledge</w:t>
      </w:r>
    </w:p>
    <w:p w:rsidR="005E5955" w:rsidRPr="005E5955" w:rsidRDefault="005E5955" w:rsidP="005E5955">
      <w:pPr>
        <w:spacing w:after="0" w:line="240" w:lineRule="auto"/>
        <w:ind w:left="567"/>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2.1. Requirements for theoretical readiness of students to perform practical classes (knowledge requirements, list of didactic units):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Requirements for theoretical knowledge: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Numerous studies on the effect of the dosage form on the therapeutic efficacy of drugs have shown that the optimal activity of the drug is achieved only when prescribed in a rational dosage form. In addition, in this case, you can avoid many side effects of drugs on the body.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i/>
          <w:iCs/>
          <w:color w:val="000000"/>
          <w:sz w:val="28"/>
          <w:szCs w:val="28"/>
          <w:lang w:val="en-US" w:eastAsia="ru-RU"/>
        </w:rPr>
        <w:t xml:space="preserve">Dosage form </w:t>
      </w:r>
      <w:r w:rsidRPr="005E5955">
        <w:rPr>
          <w:rFonts w:ascii="Times New Roman" w:hAnsi="Times New Roman"/>
          <w:color w:val="000000"/>
          <w:sz w:val="28"/>
          <w:szCs w:val="28"/>
          <w:lang w:val="en-US" w:eastAsia="ru-RU"/>
        </w:rPr>
        <w:t>is a rational from a pharmacological point of view, convenient for reception and storage form of the drug, which provides its optimal therapeutic effect with minimal side effects. According to modern ideas, the dosage form is a material norm of manifestation of the dialectical unity of active and auxiliary substances, as well as technological operations that provide the optimal therapeutic effect of the drug.</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The most important task in the development and preparation of the dosage form is to ensure optimal conditions for the release and subsequent absorption of the substance. All other requirements to which the dosage form must meet are subject to these conditions.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The degree of influence of the dosage form on the processes of absorption is determined by the ability to release the active substance from the oral dosage form and the possibility of contact with the mucous membranes of the stomach, intestines and interaction with their secretions. From here, as release and, consequently, better bioavailability, all oral drugs can be arranged in the following order: solution → emulsion → suspension → powders → granules → tablets.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 xml:space="preserve">The choice of dosage form simultaneously determines the method (path) of administration of the drug into the body. Each route of administration has its advantages, but not every one is effective. For one reason or another, sometimes even intravenous administration of the drug does not provide bioavailability. In the case of cardiac decompensation, injections and rectal dosage forms should be considered rational dosage forms of cardiac glycosides, because oral administration causes intestinal irritation (ulcer, bleeding, pain), which is associated with impaired absorption of mucous membranes in such patients. Thus, the dosage form should be advantageous and rational not only economically, aesthetically, convenient for use of </w:t>
      </w:r>
      <w:r w:rsidRPr="005E5955">
        <w:rPr>
          <w:rFonts w:ascii="Times New Roman" w:hAnsi="Times New Roman"/>
          <w:color w:val="000000"/>
          <w:sz w:val="28"/>
          <w:szCs w:val="28"/>
          <w:lang w:val="en-US" w:eastAsia="ru-RU"/>
        </w:rPr>
        <w:lastRenderedPageBreak/>
        <w:t>the parties, but first of all from the point of view of pharmacodynamics of drug and maintenance of modern requirements of pharmacotherapy.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The rationality of the dosage form and the ways of its administration is assessed by the rate of release of the drug from the dosage form, its absorption and excretion from the body.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Long-term therapy with indomethacin in suppositories proceeds without complications, with a good therapeutic effect, while the use of the drug in tablets is accompanied by dyspeptic symptoms, disorders of the central nervous system and other complications.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Insulin is used parenterally, because when taken orally it is completely inactivated in the gastrointestinal tract, and there are dosage forms that provide high (rapid) or less high rate of effect and different duration of hypoglycemic action (prolonged forms).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Didactic units: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-Dosage form</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i/>
          <w:iCs/>
          <w:color w:val="000000"/>
          <w:sz w:val="28"/>
          <w:szCs w:val="28"/>
          <w:lang w:val="en-US" w:eastAsia="ru-RU"/>
        </w:rPr>
        <w:t>Answer the question:</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 xml:space="preserve">1. Describe the routes of administration of drugs into the body. </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2. Definition and characteristics of types of dosage forms.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3. Classification of dosage forms. Requirements for dosage forms.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4. Study of pharmaceutical and bioavailability of drugs in</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different dosage forms.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 xml:space="preserve">5. Relationship between the dosage form and by drug administration               </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substances.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i/>
          <w:iCs/>
          <w:color w:val="000000"/>
          <w:sz w:val="28"/>
          <w:szCs w:val="28"/>
          <w:lang w:val="en-US" w:eastAsia="ru-RU"/>
        </w:rPr>
        <w:t>Solve tests:</w:t>
      </w:r>
    </w:p>
    <w:p w:rsidR="005E5955" w:rsidRPr="005E5955" w:rsidRDefault="005E5955" w:rsidP="005E5955">
      <w:pPr>
        <w:numPr>
          <w:ilvl w:val="0"/>
          <w:numId w:val="1"/>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Some types of capsules have their own names. Choose the definition that corresponds to tubatin: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soft gelatin capsules with an elongated neck</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hard gelatin capsule with microcapsules with a film shell</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hard gelatin capsules with microdraggering with a fatty shell</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individual particles of LR with a thin shell, the size of which is 1 - 5000 microns .;</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soft elastic capsule</w:t>
      </w:r>
    </w:p>
    <w:p w:rsidR="005E5955" w:rsidRPr="005E5955" w:rsidRDefault="005E5955" w:rsidP="005E5955">
      <w:pPr>
        <w:numPr>
          <w:ilvl w:val="0"/>
          <w:numId w:val="2"/>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Patient R., 23 years old, developed a headache due to emotional overload. The doctor advised taking analgin. In what way it is expedient to enter this preparation to the patient?</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In a tablet per os.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In a solution in / m.</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In a solution in / in.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lastRenderedPageBreak/>
        <w:t>D. In solution per rectum.</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In solution per os.</w:t>
      </w:r>
    </w:p>
    <w:p w:rsidR="005E5955" w:rsidRPr="005E5955" w:rsidRDefault="005E5955" w:rsidP="005E5955">
      <w:pPr>
        <w:numPr>
          <w:ilvl w:val="0"/>
          <w:numId w:val="3"/>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The patient was administered cerucal intravenously, considering that this way will increase the bioavailability of drugs. How is this concept defined?</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The proportion of the dose of the drug that changed during passage through the gastrointestinal tract</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The proportion of the dose of the drug, which in unchanged form has reached the systemic circulation.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The proportion of the dose of the drug, which is excreted unchanged from the body.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The proportion of the drug dose that bound to albumin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The proportion of the dose of drugs that have undergone glucuronidation in the liver.</w:t>
      </w:r>
    </w:p>
    <w:p w:rsidR="005E5955" w:rsidRPr="005E5955" w:rsidRDefault="005E5955" w:rsidP="005E5955">
      <w:pPr>
        <w:numPr>
          <w:ilvl w:val="0"/>
          <w:numId w:val="4"/>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Patient B., 33 years old, started taking NSAIDs for joint pain. The doctor prescribed him a lower dose than a woman of the same age with this disease. How can you explain the doctor's action?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Men have higher COX activity.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Women have less COX activity.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Women are hypersensitive to NSAIDs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Women are more likely to metabolize NSAIDs in the liver.</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Men are more likely to metabolize NSAIDs in the liver.</w:t>
      </w:r>
    </w:p>
    <w:p w:rsidR="005E5955" w:rsidRPr="005E5955" w:rsidRDefault="005E5955" w:rsidP="005E5955">
      <w:pPr>
        <w:numPr>
          <w:ilvl w:val="0"/>
          <w:numId w:val="5"/>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Patient K., 54 years old, suffers from coronary heart disease. The patient had an attack of angina, which lasted about 30 minutes and was accompanied by changes in the ECG. Which route of administration of nitroglycerin should be used to treat the attack in this case?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Sublingual reception.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Parenteral administration.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Applying ointment to the skin.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Buccal patch</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Admission per os ..</w:t>
      </w:r>
    </w:p>
    <w:p w:rsidR="005E5955" w:rsidRPr="005E5955" w:rsidRDefault="005E5955" w:rsidP="005E5955">
      <w:pPr>
        <w:numPr>
          <w:ilvl w:val="0"/>
          <w:numId w:val="6"/>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Patient T. is taking amlodipine. Explain what is the "target" of this drug?</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Ion channels.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Enzymes.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Transport proteins.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Receptors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Genes</w:t>
      </w:r>
    </w:p>
    <w:p w:rsidR="005E5955" w:rsidRPr="005E5955" w:rsidRDefault="005E5955" w:rsidP="005E5955">
      <w:pPr>
        <w:numPr>
          <w:ilvl w:val="0"/>
          <w:numId w:val="7"/>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lastRenderedPageBreak/>
        <w:t>Patient A., 45 years old, was prescribed the second-generation cephalosporin antibiotic for pneumonia in a dose that the doctor called "shock." What is included in this concept?</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Equal to one-time.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Exceeds the highest daily.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Exceeds the average therapeutic.</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Equal to supportive.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Equal to the minimum therapeutic.</w:t>
      </w:r>
    </w:p>
    <w:p w:rsidR="005E5955" w:rsidRPr="005E5955" w:rsidRDefault="005E5955" w:rsidP="005E5955">
      <w:pPr>
        <w:numPr>
          <w:ilvl w:val="0"/>
          <w:numId w:val="8"/>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The patient needs to prepare vaginal suppositories. Indicate what should be the weight of the vaginal suppository, if it is not specified in the recipe?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3.0 g</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4.0 g</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2.5 g</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2.0 g</w:t>
      </w:r>
    </w:p>
    <w:p w:rsidR="005E5955" w:rsidRPr="005E5955" w:rsidRDefault="005E5955" w:rsidP="005E5955">
      <w:pPr>
        <w:numPr>
          <w:ilvl w:val="0"/>
          <w:numId w:val="9"/>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The doctor prescribed the drug to the patient. The patient's condition requires the achievement of maximum bioavailability. What parameter of the drug itself can achieve this goal?</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Parenteral route of administration.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Dose.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Brand.</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Therapeutic breadth of action.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The half-life</w:t>
      </w:r>
    </w:p>
    <w:p w:rsidR="005E5955" w:rsidRPr="005E5955" w:rsidRDefault="005E5955" w:rsidP="005E5955">
      <w:pPr>
        <w:numPr>
          <w:ilvl w:val="0"/>
          <w:numId w:val="10"/>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Hard gelatin capsules are designed for dosing of loose powder, granular and microencapsulated substances. They have the shape of a cylinder and consist of two parts. Name them:</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stem and capillary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body and capillary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body and lid</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body and body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pulp and lid</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III. Formation of professional skills, abilities: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3.1.content of tasks: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Complete an individual task set by the teacher:</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1. Predict the use of indomethacin in suppositories and tablets.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How do the selected dosage forms affect the development of the therapeutic effect?</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2. Explain the parenteral use of insulin. What drugs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lastRenderedPageBreak/>
        <w:t xml:space="preserve">forms of insulin provide a high or less high rate of development               </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hypoglycemic effect. How does the prolonged dosage form affect</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duration of therapeutic effect?</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3.2.</w:t>
      </w:r>
      <w:r w:rsidRPr="005E5955">
        <w:rPr>
          <w:rFonts w:ascii="Times New Roman" w:hAnsi="Times New Roman"/>
          <w:b/>
          <w:bCs/>
          <w:color w:val="000000"/>
          <w:sz w:val="28"/>
          <w:szCs w:val="28"/>
          <w:lang w:val="en-US" w:eastAsia="ru-RU"/>
        </w:rPr>
        <w:t>recommendations (instructions) for performing tasks</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According to the course of practical training to carry out registration of the individual task in a workbook.</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3.3.requirements for work results, including before registration</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In accordance with the recommendations (instructions) for the tasks.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3.4.control materials for the final stage of the lesson: tasks, tasks, tests, etc .:</w:t>
      </w:r>
    </w:p>
    <w:p w:rsidR="005E5955" w:rsidRPr="005E5955" w:rsidRDefault="005E5955" w:rsidP="005E5955">
      <w:pPr>
        <w:numPr>
          <w:ilvl w:val="0"/>
          <w:numId w:val="11"/>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The maximum allowable ratio when mixing powders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1: 1</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1: 5</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1:20</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1: 2</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1: 7</w:t>
      </w:r>
    </w:p>
    <w:p w:rsidR="005E5955" w:rsidRPr="005E5955" w:rsidRDefault="005E5955" w:rsidP="005E5955">
      <w:pPr>
        <w:numPr>
          <w:ilvl w:val="0"/>
          <w:numId w:val="12"/>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Some types of capsules have their own names. Select the definition that corresponds to the medulla:</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soft gelatin capsules with an elongated neck</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hard gelatin capsule with microcapsules with a film shell</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hard gelatin capsules with microdraggering with a fatty shell</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individual particles of LR with a thin shell, the size of which is 1 - 5000 microns .;</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soft elastic capsule</w:t>
      </w:r>
    </w:p>
    <w:p w:rsidR="005E5955" w:rsidRPr="005E5955" w:rsidRDefault="005E5955" w:rsidP="005E5955">
      <w:pPr>
        <w:numPr>
          <w:ilvl w:val="0"/>
          <w:numId w:val="13"/>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Some types of capsules have their own names. Select the definition that corresponds to the nanocapsules: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soft gelatin capsules with an elongated neck</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individual particles of LR with a thin shell, the size of which is less than 1 μm</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hard gelatin capsules with microdraggering with a fatty shell</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hard gelatin capsule with film-coated microcapsules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soft and elastic capsule of various shapes</w:t>
      </w:r>
    </w:p>
    <w:p w:rsidR="005E5955" w:rsidRPr="005E5955" w:rsidRDefault="005E5955" w:rsidP="005E5955">
      <w:pPr>
        <w:numPr>
          <w:ilvl w:val="0"/>
          <w:numId w:val="14"/>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Some types of capsules have their own names. Select the definition that corresponds to the microcapsules: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soft gelatin capsules with an elongated neck</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individual particles of LR with a thin shell, the size of which is 1 - 5000 microns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individual particles of LR with a thin shell, the size of which is less than 1 μm</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lastRenderedPageBreak/>
        <w:t>D. hard gelatin capsule with film-coated microcapsules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soft and elastic capsule of various shapes</w:t>
      </w:r>
    </w:p>
    <w:p w:rsidR="005E5955" w:rsidRPr="005E5955" w:rsidRDefault="005E5955" w:rsidP="005E5955">
      <w:pPr>
        <w:numPr>
          <w:ilvl w:val="0"/>
          <w:numId w:val="15"/>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In order to prolong the action of nitroglycerin it is used in the form</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patch</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capsules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suppository</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injections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infusion</w:t>
      </w:r>
    </w:p>
    <w:p w:rsidR="005E5955" w:rsidRPr="005E5955" w:rsidRDefault="005E5955" w:rsidP="005E5955">
      <w:pPr>
        <w:numPr>
          <w:ilvl w:val="0"/>
          <w:numId w:val="16"/>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A patient who needs to prepare camphor ointment went to the pharmacy. What concentration of ointment should be prepared by a pharmacist, guided by the requirements of regulatory documents?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10%</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1%</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15%</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20%</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5%</w:t>
      </w:r>
    </w:p>
    <w:p w:rsidR="005E5955" w:rsidRPr="005E5955" w:rsidRDefault="005E5955" w:rsidP="005E5955">
      <w:pPr>
        <w:numPr>
          <w:ilvl w:val="0"/>
          <w:numId w:val="17"/>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The patient must undergo treatment with methindol (indomethacin). Which dosage form will be rational:</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tablets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capsules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suppositories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ointment</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gel</w:t>
      </w:r>
    </w:p>
    <w:p w:rsidR="005E5955" w:rsidRPr="005E5955" w:rsidRDefault="005E5955" w:rsidP="005E5955">
      <w:pPr>
        <w:numPr>
          <w:ilvl w:val="0"/>
          <w:numId w:val="18"/>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When the influence of the type of dosage form on the process of analgin release by the method of "in vitro", as the medium used:</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water</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acid</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meadow</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formalin</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acetone</w:t>
      </w:r>
    </w:p>
    <w:p w:rsidR="005E5955" w:rsidRPr="005E5955" w:rsidRDefault="005E5955" w:rsidP="005E5955">
      <w:pPr>
        <w:numPr>
          <w:ilvl w:val="0"/>
          <w:numId w:val="19"/>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How will the quality of gelatin capsules change if the temperature of the mass specified in the regulations is reduced during their formation by the immersion method?</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the walls of gelatin capsules will be thick</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lastRenderedPageBreak/>
        <w:t>B. the walls of gelatin capsules will be thin and brittle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the walls of the gelatin capsules will be with the inclusion of air</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the walls of gelatin capsules do not dissolve</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The walls of the gelatin capsules will be very hard</w:t>
      </w:r>
    </w:p>
    <w:p w:rsidR="005E5955" w:rsidRPr="005E5955" w:rsidRDefault="005E5955" w:rsidP="005E5955">
      <w:pPr>
        <w:numPr>
          <w:ilvl w:val="0"/>
          <w:numId w:val="20"/>
        </w:numPr>
        <w:spacing w:before="100" w:beforeAutospacing="1" w:after="100" w:afterAutospacing="1" w:line="240" w:lineRule="auto"/>
        <w:ind w:left="0"/>
        <w:jc w:val="both"/>
        <w:rPr>
          <w:rFonts w:ascii="Times New Roman" w:hAnsi="Times New Roman"/>
          <w:color w:val="000000"/>
          <w:sz w:val="28"/>
          <w:szCs w:val="28"/>
          <w:lang w:val="en-US" w:eastAsia="ru-RU"/>
        </w:rPr>
      </w:pPr>
      <w:r w:rsidRPr="005E5955">
        <w:rPr>
          <w:rFonts w:ascii="Times New Roman" w:hAnsi="Times New Roman"/>
          <w:color w:val="000000"/>
          <w:sz w:val="28"/>
          <w:szCs w:val="28"/>
          <w:lang w:val="en-US" w:eastAsia="ru-RU"/>
        </w:rPr>
        <w:t>What are the acid-resistant coatings used in the manufacture of tablets and capsules: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A. plasticizers</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B. enteric</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C. disintegrating</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D. thixotropic</w:t>
      </w:r>
    </w:p>
    <w:p w:rsidR="005E5955" w:rsidRPr="005E5955" w:rsidRDefault="005E5955" w:rsidP="005E5955">
      <w:pPr>
        <w:spacing w:after="0" w:line="240" w:lineRule="auto"/>
        <w:ind w:firstLine="567"/>
        <w:jc w:val="both"/>
        <w:rPr>
          <w:rFonts w:ascii="Calibri" w:hAnsi="Calibri" w:cs="Calibri"/>
          <w:color w:val="000000"/>
          <w:sz w:val="28"/>
          <w:szCs w:val="28"/>
          <w:lang w:val="en-US" w:eastAsia="ru-RU"/>
        </w:rPr>
      </w:pPr>
      <w:r w:rsidRPr="005E5955">
        <w:rPr>
          <w:rFonts w:ascii="Times New Roman" w:hAnsi="Times New Roman"/>
          <w:color w:val="000000"/>
          <w:sz w:val="28"/>
          <w:szCs w:val="28"/>
          <w:lang w:val="en-US" w:eastAsia="ru-RU"/>
        </w:rPr>
        <w:t>E. insoluble</w:t>
      </w:r>
    </w:p>
    <w:p w:rsidR="005E5955" w:rsidRPr="005E5955" w:rsidRDefault="005E5955" w:rsidP="005E5955">
      <w:pPr>
        <w:spacing w:after="0" w:line="240" w:lineRule="auto"/>
        <w:jc w:val="both"/>
        <w:rPr>
          <w:rFonts w:ascii="Calibri" w:hAnsi="Calibri" w:cs="Calibri"/>
          <w:color w:val="000000"/>
          <w:sz w:val="28"/>
          <w:szCs w:val="28"/>
          <w:lang w:val="en-US" w:eastAsia="ru-RU"/>
        </w:rPr>
      </w:pPr>
      <w:r w:rsidRPr="005E5955">
        <w:rPr>
          <w:rFonts w:ascii="Times New Roman" w:hAnsi="Times New Roman"/>
          <w:b/>
          <w:bCs/>
          <w:color w:val="000000"/>
          <w:sz w:val="28"/>
          <w:szCs w:val="28"/>
          <w:lang w:val="en-US" w:eastAsia="ru-RU"/>
        </w:rPr>
        <w:t>IV. Summing up</w:t>
      </w:r>
    </w:p>
    <w:p w:rsidR="005E5955" w:rsidRPr="0082625C" w:rsidRDefault="005E5955" w:rsidP="005E5955">
      <w:pPr>
        <w:spacing w:after="0" w:line="240" w:lineRule="auto"/>
        <w:jc w:val="center"/>
        <w:rPr>
          <w:rFonts w:ascii="Calibri" w:hAnsi="Calibri" w:cs="Calibri"/>
          <w:color w:val="000000"/>
          <w:sz w:val="28"/>
          <w:szCs w:val="28"/>
          <w:lang w:val="en-US" w:eastAsia="ru-RU"/>
        </w:rPr>
      </w:pPr>
    </w:p>
    <w:p w:rsidR="005E5955" w:rsidRPr="0082625C" w:rsidRDefault="005E5955" w:rsidP="005E5955">
      <w:pPr>
        <w:spacing w:after="0" w:line="240" w:lineRule="auto"/>
        <w:jc w:val="center"/>
        <w:rPr>
          <w:rFonts w:ascii="Calibri" w:hAnsi="Calibri" w:cs="Calibri"/>
          <w:color w:val="000000"/>
          <w:sz w:val="28"/>
          <w:szCs w:val="28"/>
          <w:lang w:val="en-US" w:eastAsia="ru-RU"/>
        </w:rPr>
      </w:pPr>
      <w:r w:rsidRPr="0082625C">
        <w:rPr>
          <w:rFonts w:ascii="Times New Roman" w:hAnsi="Times New Roman"/>
          <w:b/>
          <w:bCs/>
          <w:color w:val="000000"/>
          <w:sz w:val="28"/>
          <w:szCs w:val="28"/>
          <w:lang w:val="en-US" w:eastAsia="ru-RU"/>
        </w:rPr>
        <w:t>List of recommended reading</w:t>
      </w:r>
    </w:p>
    <w:p w:rsidR="005E5955" w:rsidRPr="0082625C" w:rsidRDefault="005E5955" w:rsidP="005E5955">
      <w:pPr>
        <w:shd w:val="clear" w:color="auto" w:fill="FFFFFF"/>
        <w:spacing w:after="0" w:line="240" w:lineRule="auto"/>
        <w:jc w:val="center"/>
        <w:rPr>
          <w:rFonts w:ascii="Times New Roman" w:hAnsi="Times New Roman"/>
          <w:b/>
          <w:sz w:val="28"/>
          <w:szCs w:val="28"/>
          <w:lang w:val="en-US"/>
        </w:rPr>
      </w:pPr>
      <w:r w:rsidRPr="0082625C">
        <w:rPr>
          <w:rFonts w:ascii="Times New Roman" w:hAnsi="Times New Roman"/>
          <w:b/>
          <w:sz w:val="28"/>
          <w:szCs w:val="28"/>
          <w:lang w:val="en-US"/>
        </w:rPr>
        <w:t>Main:</w:t>
      </w:r>
    </w:p>
    <w:p w:rsidR="006A4ED7" w:rsidRDefault="006A4ED7" w:rsidP="006A4ED7">
      <w:pPr>
        <w:tabs>
          <w:tab w:val="left" w:pos="426"/>
          <w:tab w:val="left" w:pos="993"/>
        </w:tabs>
        <w:spacing w:after="0" w:line="240" w:lineRule="auto"/>
        <w:ind w:firstLine="567"/>
        <w:jc w:val="both"/>
        <w:rPr>
          <w:rFonts w:ascii="Times New Roman" w:hAnsi="Times New Roman"/>
          <w:sz w:val="28"/>
          <w:szCs w:val="28"/>
          <w:lang w:val="uk-UA"/>
        </w:rPr>
      </w:pPr>
      <w:r w:rsidRPr="006A4ED7">
        <w:rPr>
          <w:rFonts w:ascii="Times New Roman" w:hAnsi="Times New Roman"/>
          <w:sz w:val="28"/>
          <w:szCs w:val="28"/>
        </w:rPr>
        <w:t xml:space="preserve">1. </w:t>
      </w:r>
      <w:r w:rsidRPr="00610AFA">
        <w:rPr>
          <w:rFonts w:ascii="Times New Roman" w:hAnsi="Times New Roman"/>
          <w:sz w:val="28"/>
          <w:szCs w:val="28"/>
        </w:rPr>
        <w:t>Біофармація</w:t>
      </w:r>
      <w:r w:rsidRPr="006A4ED7">
        <w:rPr>
          <w:rFonts w:ascii="Times New Roman" w:hAnsi="Times New Roman"/>
          <w:sz w:val="28"/>
          <w:szCs w:val="28"/>
        </w:rPr>
        <w:t xml:space="preserve"> : </w:t>
      </w:r>
      <w:r w:rsidRPr="00610AFA">
        <w:rPr>
          <w:rFonts w:ascii="Times New Roman" w:hAnsi="Times New Roman"/>
          <w:sz w:val="28"/>
          <w:szCs w:val="28"/>
        </w:rPr>
        <w:t>підруч</w:t>
      </w:r>
      <w:r w:rsidRPr="006A4ED7">
        <w:rPr>
          <w:rFonts w:ascii="Times New Roman" w:hAnsi="Times New Roman"/>
          <w:sz w:val="28"/>
          <w:szCs w:val="28"/>
        </w:rPr>
        <w:t xml:space="preserve">. </w:t>
      </w:r>
      <w:r w:rsidRPr="00610AFA">
        <w:rPr>
          <w:rFonts w:ascii="Times New Roman" w:hAnsi="Times New Roman"/>
          <w:sz w:val="28"/>
          <w:szCs w:val="28"/>
        </w:rPr>
        <w:t>для</w:t>
      </w:r>
      <w:r w:rsidRPr="006A4ED7">
        <w:rPr>
          <w:rFonts w:ascii="Times New Roman" w:hAnsi="Times New Roman"/>
          <w:sz w:val="28"/>
          <w:szCs w:val="28"/>
        </w:rPr>
        <w:t xml:space="preserve"> </w:t>
      </w:r>
      <w:r w:rsidRPr="00610AFA">
        <w:rPr>
          <w:rFonts w:ascii="Times New Roman" w:hAnsi="Times New Roman"/>
          <w:sz w:val="28"/>
          <w:szCs w:val="28"/>
        </w:rPr>
        <w:t>студентів</w:t>
      </w:r>
      <w:r w:rsidRPr="006A4ED7">
        <w:rPr>
          <w:rFonts w:ascii="Times New Roman" w:hAnsi="Times New Roman"/>
          <w:sz w:val="28"/>
          <w:szCs w:val="28"/>
        </w:rPr>
        <w:t xml:space="preserve"> </w:t>
      </w:r>
      <w:r w:rsidRPr="00610AFA">
        <w:rPr>
          <w:rFonts w:ascii="Times New Roman" w:hAnsi="Times New Roman"/>
          <w:sz w:val="28"/>
          <w:szCs w:val="28"/>
        </w:rPr>
        <w:t>закл</w:t>
      </w:r>
      <w:r w:rsidRPr="006A4ED7">
        <w:rPr>
          <w:rFonts w:ascii="Times New Roman" w:hAnsi="Times New Roman"/>
          <w:sz w:val="28"/>
          <w:szCs w:val="28"/>
        </w:rPr>
        <w:t xml:space="preserve">. </w:t>
      </w:r>
      <w:r w:rsidRPr="00610AFA">
        <w:rPr>
          <w:rFonts w:ascii="Times New Roman" w:hAnsi="Times New Roman"/>
          <w:sz w:val="28"/>
          <w:szCs w:val="28"/>
        </w:rPr>
        <w:t>вищ</w:t>
      </w:r>
      <w:r w:rsidRPr="006A4ED7">
        <w:rPr>
          <w:rFonts w:ascii="Times New Roman" w:hAnsi="Times New Roman"/>
          <w:sz w:val="28"/>
          <w:szCs w:val="28"/>
        </w:rPr>
        <w:t xml:space="preserve">. </w:t>
      </w:r>
      <w:r w:rsidRPr="00610AFA">
        <w:rPr>
          <w:rFonts w:ascii="Times New Roman" w:hAnsi="Times New Roman"/>
          <w:sz w:val="28"/>
          <w:szCs w:val="28"/>
        </w:rPr>
        <w:t>освіти</w:t>
      </w:r>
      <w:r w:rsidRPr="006A4ED7">
        <w:rPr>
          <w:rFonts w:ascii="Times New Roman" w:hAnsi="Times New Roman"/>
          <w:sz w:val="28"/>
          <w:szCs w:val="28"/>
        </w:rPr>
        <w:t xml:space="preserve"> / </w:t>
      </w:r>
      <w:r w:rsidRPr="00610AFA">
        <w:rPr>
          <w:rFonts w:ascii="Times New Roman" w:hAnsi="Times New Roman"/>
          <w:sz w:val="28"/>
          <w:szCs w:val="28"/>
        </w:rPr>
        <w:t>О</w:t>
      </w:r>
      <w:r w:rsidRPr="006A4ED7">
        <w:rPr>
          <w:rFonts w:ascii="Times New Roman" w:hAnsi="Times New Roman"/>
          <w:sz w:val="28"/>
          <w:szCs w:val="28"/>
        </w:rPr>
        <w:t xml:space="preserve">. </w:t>
      </w:r>
      <w:r w:rsidRPr="00610AFA">
        <w:rPr>
          <w:rFonts w:ascii="Times New Roman" w:hAnsi="Times New Roman"/>
          <w:sz w:val="28"/>
          <w:szCs w:val="28"/>
        </w:rPr>
        <w:t>І</w:t>
      </w:r>
      <w:r w:rsidRPr="006A4ED7">
        <w:rPr>
          <w:rFonts w:ascii="Times New Roman" w:hAnsi="Times New Roman"/>
          <w:sz w:val="28"/>
          <w:szCs w:val="28"/>
        </w:rPr>
        <w:t xml:space="preserve">. </w:t>
      </w:r>
      <w:r w:rsidRPr="00610AFA">
        <w:rPr>
          <w:rFonts w:ascii="Times New Roman" w:hAnsi="Times New Roman"/>
          <w:sz w:val="28"/>
          <w:szCs w:val="28"/>
        </w:rPr>
        <w:t>Тихонов</w:t>
      </w:r>
      <w:r w:rsidRPr="006A4ED7">
        <w:rPr>
          <w:rFonts w:ascii="Times New Roman" w:hAnsi="Times New Roman"/>
          <w:sz w:val="28"/>
          <w:szCs w:val="28"/>
        </w:rPr>
        <w:t xml:space="preserve"> [</w:t>
      </w:r>
      <w:r w:rsidRPr="00610AFA">
        <w:rPr>
          <w:rFonts w:ascii="Times New Roman" w:hAnsi="Times New Roman"/>
          <w:sz w:val="28"/>
          <w:szCs w:val="28"/>
        </w:rPr>
        <w:t>та</w:t>
      </w:r>
      <w:r w:rsidRPr="006A4ED7">
        <w:rPr>
          <w:rFonts w:ascii="Times New Roman" w:hAnsi="Times New Roman"/>
          <w:sz w:val="28"/>
          <w:szCs w:val="28"/>
        </w:rPr>
        <w:t xml:space="preserve"> </w:t>
      </w:r>
      <w:r w:rsidRPr="00610AFA">
        <w:rPr>
          <w:rFonts w:ascii="Times New Roman" w:hAnsi="Times New Roman"/>
          <w:sz w:val="28"/>
          <w:szCs w:val="28"/>
        </w:rPr>
        <w:t>ін</w:t>
      </w:r>
      <w:r w:rsidRPr="006A4ED7">
        <w:rPr>
          <w:rFonts w:ascii="Times New Roman" w:hAnsi="Times New Roman"/>
          <w:sz w:val="28"/>
          <w:szCs w:val="28"/>
        </w:rPr>
        <w:t xml:space="preserve">.] ; </w:t>
      </w:r>
      <w:r w:rsidRPr="00610AFA">
        <w:rPr>
          <w:rFonts w:ascii="Times New Roman" w:hAnsi="Times New Roman"/>
          <w:sz w:val="28"/>
          <w:szCs w:val="28"/>
        </w:rPr>
        <w:t>за</w:t>
      </w:r>
      <w:r w:rsidRPr="006A4ED7">
        <w:rPr>
          <w:rFonts w:ascii="Times New Roman" w:hAnsi="Times New Roman"/>
          <w:sz w:val="28"/>
          <w:szCs w:val="28"/>
        </w:rPr>
        <w:t xml:space="preserve"> </w:t>
      </w:r>
      <w:r w:rsidRPr="00610AFA">
        <w:rPr>
          <w:rFonts w:ascii="Times New Roman" w:hAnsi="Times New Roman"/>
          <w:sz w:val="28"/>
          <w:szCs w:val="28"/>
        </w:rPr>
        <w:t>ред</w:t>
      </w:r>
      <w:r w:rsidRPr="006A4ED7">
        <w:rPr>
          <w:rFonts w:ascii="Times New Roman" w:hAnsi="Times New Roman"/>
          <w:sz w:val="28"/>
          <w:szCs w:val="28"/>
        </w:rPr>
        <w:t xml:space="preserve">. </w:t>
      </w:r>
      <w:r w:rsidRPr="00610AFA">
        <w:rPr>
          <w:rFonts w:ascii="Times New Roman" w:hAnsi="Times New Roman"/>
          <w:sz w:val="28"/>
          <w:szCs w:val="28"/>
        </w:rPr>
        <w:t xml:space="preserve">О. І. Тихонова. – 2-ге вид., перероб. і допов. – Харків : НФаУ: Золоті сторінки, 2019. – 224 с </w:t>
      </w:r>
    </w:p>
    <w:p w:rsidR="006A4ED7" w:rsidRDefault="006A4ED7" w:rsidP="006A4ED7">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6A4ED7" w:rsidRDefault="006A4ED7" w:rsidP="006A4ED7">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6A4ED7" w:rsidRDefault="006A4ED7" w:rsidP="006A4ED7">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 4. Настанова СТ-Н МОЗУ 42-7.2:2018 Лікарські засоби дослідження біоеквівалентності. – Київ, 2018. – 77 с. </w:t>
      </w:r>
    </w:p>
    <w:p w:rsidR="005E5955" w:rsidRPr="006A4ED7" w:rsidRDefault="005E5955" w:rsidP="005E5955">
      <w:pPr>
        <w:tabs>
          <w:tab w:val="left" w:pos="426"/>
          <w:tab w:val="left" w:pos="993"/>
        </w:tabs>
        <w:spacing w:after="0" w:line="240" w:lineRule="auto"/>
        <w:ind w:firstLine="567"/>
        <w:jc w:val="both"/>
        <w:rPr>
          <w:rFonts w:ascii="Calibri" w:hAnsi="Calibri" w:cs="Calibri"/>
          <w:color w:val="000000"/>
          <w:sz w:val="28"/>
          <w:szCs w:val="28"/>
          <w:lang w:val="uk-UA" w:eastAsia="ru-RU"/>
        </w:rPr>
      </w:pPr>
    </w:p>
    <w:p w:rsidR="005A2E5B" w:rsidRPr="006A4ED7" w:rsidRDefault="005A2E5B" w:rsidP="005E5955"/>
    <w:sectPr w:rsidR="005A2E5B" w:rsidRPr="006A4ED7" w:rsidSect="005E5955">
      <w:headerReference w:type="default" r:id="rId10"/>
      <w:footerReference w:type="default" r:id="rId11"/>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1C41" w:rsidRDefault="008E1C41" w:rsidP="008B79C3">
      <w:pPr>
        <w:spacing w:after="0" w:line="240" w:lineRule="auto"/>
      </w:pPr>
      <w:r>
        <w:separator/>
      </w:r>
    </w:p>
  </w:endnote>
  <w:endnote w:type="continuationSeparator" w:id="1">
    <w:p w:rsidR="008E1C41" w:rsidRDefault="008E1C41" w:rsidP="008B79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i/>
      </w:rPr>
      <w:id w:val="-531487699"/>
    </w:sdtPr>
    <w:sdtContent>
      <w:p w:rsidR="008B79C3" w:rsidRPr="008B79C3" w:rsidRDefault="008B79C3" w:rsidP="008B79C3">
        <w:pPr>
          <w:pStyle w:val="a5"/>
          <w:tabs>
            <w:tab w:val="left" w:pos="709"/>
          </w:tabs>
          <w:ind w:firstLine="567"/>
          <w:rPr>
            <w:rFonts w:ascii="Times New Roman" w:hAnsi="Times New Roman"/>
            <w:i/>
            <w:sz w:val="24"/>
            <w:szCs w:val="24"/>
            <w:lang w:val="en-US"/>
          </w:rPr>
        </w:pPr>
        <w:r w:rsidRPr="00FA1BDC">
          <w:rPr>
            <w:rFonts w:ascii="Times New Roman" w:hAnsi="Times New Roman"/>
            <w:i/>
            <w:sz w:val="24"/>
            <w:szCs w:val="24"/>
            <w:lang w:val="en-US"/>
          </w:rPr>
          <w:t xml:space="preserve">Methodical development of practices, OPP "Pharmacy, industrial pharmacy", 5th year, Faculty of Pharmacy, Discipline: "Biopharmacy" p. </w:t>
        </w:r>
        <w:r w:rsidR="007461CD" w:rsidRPr="00FA1BDC">
          <w:rPr>
            <w:rFonts w:ascii="Times New Roman" w:hAnsi="Times New Roman"/>
            <w:i/>
          </w:rPr>
          <w:fldChar w:fldCharType="begin"/>
        </w:r>
        <w:r w:rsidRPr="00FA1BDC">
          <w:rPr>
            <w:rFonts w:ascii="Times New Roman" w:hAnsi="Times New Roman"/>
            <w:i/>
            <w:lang w:val="en-US"/>
          </w:rPr>
          <w:instrText>PAGE   \* MERGEFORMAT</w:instrText>
        </w:r>
        <w:r w:rsidR="007461CD" w:rsidRPr="00FA1BDC">
          <w:rPr>
            <w:rFonts w:ascii="Times New Roman" w:hAnsi="Times New Roman"/>
            <w:i/>
          </w:rPr>
          <w:fldChar w:fldCharType="separate"/>
        </w:r>
        <w:r w:rsidR="006A4ED7" w:rsidRPr="006A4ED7">
          <w:rPr>
            <w:rFonts w:ascii="Times New Roman" w:hAnsi="Times New Roman"/>
            <w:i/>
            <w:noProof/>
          </w:rPr>
          <w:t>9</w:t>
        </w:r>
        <w:r w:rsidR="007461CD" w:rsidRPr="00FA1BDC">
          <w:rPr>
            <w:rFonts w:ascii="Times New Roman" w:hAnsi="Times New Roman"/>
            <w:i/>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1C41" w:rsidRDefault="008E1C41" w:rsidP="008B79C3">
      <w:pPr>
        <w:spacing w:after="0" w:line="240" w:lineRule="auto"/>
      </w:pPr>
      <w:r>
        <w:separator/>
      </w:r>
    </w:p>
  </w:footnote>
  <w:footnote w:type="continuationSeparator" w:id="1">
    <w:p w:rsidR="008E1C41" w:rsidRDefault="008E1C41" w:rsidP="008B79C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9C3" w:rsidRPr="008B79C3" w:rsidRDefault="008B79C3" w:rsidP="008B79C3">
    <w:pPr>
      <w:spacing w:after="0" w:line="322" w:lineRule="atLeast"/>
      <w:ind w:firstLine="567"/>
      <w:jc w:val="both"/>
      <w:rPr>
        <w:rFonts w:ascii="Calibri" w:hAnsi="Calibri" w:cs="Calibri"/>
        <w:i/>
        <w:color w:val="000000"/>
        <w:sz w:val="24"/>
        <w:szCs w:val="24"/>
        <w:lang w:val="en-US" w:eastAsia="ru-RU"/>
      </w:rPr>
    </w:pPr>
    <w:r w:rsidRPr="008B79C3">
      <w:rPr>
        <w:rFonts w:ascii="Times New Roman" w:hAnsi="Times New Roman"/>
        <w:i/>
        <w:sz w:val="24"/>
        <w:szCs w:val="24"/>
        <w:lang w:val="en-US"/>
      </w:rPr>
      <w:t xml:space="preserve">ONMedU, Department of Drug Technology Practice №14. </w:t>
    </w:r>
    <w:r w:rsidRPr="008B79C3">
      <w:rPr>
        <w:rFonts w:ascii="Times New Roman" w:hAnsi="Times New Roman"/>
        <w:i/>
        <w:color w:val="000000"/>
        <w:sz w:val="24"/>
        <w:szCs w:val="24"/>
        <w:lang w:val="uk-UA" w:eastAsia="ru-RU"/>
      </w:rPr>
      <w:t>«</w:t>
    </w:r>
    <w:r w:rsidRPr="008B79C3">
      <w:rPr>
        <w:rFonts w:ascii="Times New Roman" w:hAnsi="Times New Roman"/>
        <w:bCs/>
        <w:i/>
        <w:color w:val="000000"/>
        <w:sz w:val="24"/>
        <w:szCs w:val="24"/>
        <w:lang w:val="en-US" w:eastAsia="ru-RU"/>
      </w:rPr>
      <w:t xml:space="preserve">The choice of dosage form and route of administration of the drug into the body. </w:t>
    </w:r>
    <w:r w:rsidRPr="008B79C3">
      <w:rPr>
        <w:rFonts w:ascii="Times New Roman" w:hAnsi="Times New Roman"/>
        <w:i/>
        <w:color w:val="000000"/>
        <w:sz w:val="24"/>
        <w:szCs w:val="24"/>
        <w:lang w:val="en-US" w:eastAsia="ru-RU"/>
      </w:rPr>
      <w:t>»</w:t>
    </w:r>
  </w:p>
  <w:p w:rsidR="008B79C3" w:rsidRPr="008B79C3" w:rsidRDefault="008B79C3">
    <w:pPr>
      <w:pStyle w:val="a5"/>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D4060"/>
    <w:multiLevelType w:val="multilevel"/>
    <w:tmpl w:val="CFEE5AA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23F6382"/>
    <w:multiLevelType w:val="multilevel"/>
    <w:tmpl w:val="85A69126"/>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7074664"/>
    <w:multiLevelType w:val="multilevel"/>
    <w:tmpl w:val="64048DDA"/>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0A384062"/>
    <w:multiLevelType w:val="multilevel"/>
    <w:tmpl w:val="70A84BAC"/>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0DA936B1"/>
    <w:multiLevelType w:val="multilevel"/>
    <w:tmpl w:val="E652753C"/>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180E12D3"/>
    <w:multiLevelType w:val="multilevel"/>
    <w:tmpl w:val="D23E2484"/>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18551C34"/>
    <w:multiLevelType w:val="multilevel"/>
    <w:tmpl w:val="3C40DB80"/>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189F47C4"/>
    <w:multiLevelType w:val="multilevel"/>
    <w:tmpl w:val="CA5262D6"/>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1A5F6F1A"/>
    <w:multiLevelType w:val="multilevel"/>
    <w:tmpl w:val="1468334A"/>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1F9F5F24"/>
    <w:multiLevelType w:val="multilevel"/>
    <w:tmpl w:val="884E909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2B5772CF"/>
    <w:multiLevelType w:val="multilevel"/>
    <w:tmpl w:val="A448E20A"/>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2D3D43EE"/>
    <w:multiLevelType w:val="multilevel"/>
    <w:tmpl w:val="80C8E14E"/>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328D0949"/>
    <w:multiLevelType w:val="multilevel"/>
    <w:tmpl w:val="D1A8A0B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3CBF355E"/>
    <w:multiLevelType w:val="multilevel"/>
    <w:tmpl w:val="3C283C8A"/>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3E6B60D6"/>
    <w:multiLevelType w:val="multilevel"/>
    <w:tmpl w:val="9DDA218E"/>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40BE01E9"/>
    <w:multiLevelType w:val="multilevel"/>
    <w:tmpl w:val="048A8746"/>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51405DB8"/>
    <w:multiLevelType w:val="multilevel"/>
    <w:tmpl w:val="44AA9238"/>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64FD1CD5"/>
    <w:multiLevelType w:val="multilevel"/>
    <w:tmpl w:val="8F66C77A"/>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737D4E50"/>
    <w:multiLevelType w:val="multilevel"/>
    <w:tmpl w:val="25CECBC8"/>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790A3B6F"/>
    <w:multiLevelType w:val="multilevel"/>
    <w:tmpl w:val="C870F98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D4172F7"/>
    <w:multiLevelType w:val="multilevel"/>
    <w:tmpl w:val="A24E128A"/>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7FCE6594"/>
    <w:multiLevelType w:val="multilevel"/>
    <w:tmpl w:val="35381BF4"/>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9"/>
  </w:num>
  <w:num w:numId="2">
    <w:abstractNumId w:val="14"/>
  </w:num>
  <w:num w:numId="3">
    <w:abstractNumId w:val="16"/>
  </w:num>
  <w:num w:numId="4">
    <w:abstractNumId w:val="1"/>
  </w:num>
  <w:num w:numId="5">
    <w:abstractNumId w:val="18"/>
  </w:num>
  <w:num w:numId="6">
    <w:abstractNumId w:val="10"/>
  </w:num>
  <w:num w:numId="7">
    <w:abstractNumId w:val="3"/>
  </w:num>
  <w:num w:numId="8">
    <w:abstractNumId w:val="11"/>
  </w:num>
  <w:num w:numId="9">
    <w:abstractNumId w:val="5"/>
  </w:num>
  <w:num w:numId="10">
    <w:abstractNumId w:val="7"/>
  </w:num>
  <w:num w:numId="11">
    <w:abstractNumId w:val="0"/>
  </w:num>
  <w:num w:numId="12">
    <w:abstractNumId w:val="6"/>
  </w:num>
  <w:num w:numId="13">
    <w:abstractNumId w:val="13"/>
  </w:num>
  <w:num w:numId="14">
    <w:abstractNumId w:val="22"/>
  </w:num>
  <w:num w:numId="15">
    <w:abstractNumId w:val="17"/>
  </w:num>
  <w:num w:numId="16">
    <w:abstractNumId w:val="8"/>
  </w:num>
  <w:num w:numId="17">
    <w:abstractNumId w:val="20"/>
  </w:num>
  <w:num w:numId="18">
    <w:abstractNumId w:val="15"/>
  </w:num>
  <w:num w:numId="19">
    <w:abstractNumId w:val="4"/>
  </w:num>
  <w:num w:numId="20">
    <w:abstractNumId w:val="2"/>
  </w:num>
  <w:num w:numId="21">
    <w:abstractNumId w:val="12"/>
  </w:num>
  <w:num w:numId="22">
    <w:abstractNumId w:val="19"/>
  </w:num>
  <w:num w:numId="2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5E5955"/>
    <w:rsid w:val="000B25B8"/>
    <w:rsid w:val="00304D9F"/>
    <w:rsid w:val="0035624F"/>
    <w:rsid w:val="005A2E5B"/>
    <w:rsid w:val="005D5339"/>
    <w:rsid w:val="005E5955"/>
    <w:rsid w:val="006A4ED7"/>
    <w:rsid w:val="007325D6"/>
    <w:rsid w:val="007461CD"/>
    <w:rsid w:val="007B1381"/>
    <w:rsid w:val="0082625C"/>
    <w:rsid w:val="008B79C3"/>
    <w:rsid w:val="008E1C41"/>
    <w:rsid w:val="00C12819"/>
    <w:rsid w:val="00D92053"/>
    <w:rsid w:val="00F859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61CD"/>
    <w:rPr>
      <w:rFonts w:cs="Times New Roman"/>
    </w:rPr>
  </w:style>
  <w:style w:type="paragraph" w:styleId="5">
    <w:name w:val="heading 5"/>
    <w:basedOn w:val="a"/>
    <w:link w:val="50"/>
    <w:uiPriority w:val="9"/>
    <w:qFormat/>
    <w:rsid w:val="005E5955"/>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locked/>
    <w:rsid w:val="005E5955"/>
    <w:rPr>
      <w:rFonts w:ascii="Times New Roman" w:hAnsi="Times New Roman" w:cs="Times New Roman"/>
      <w:b/>
      <w:bCs/>
      <w:sz w:val="20"/>
      <w:szCs w:val="20"/>
      <w:lang w:eastAsia="ru-RU"/>
    </w:rPr>
  </w:style>
  <w:style w:type="paragraph" w:styleId="a3">
    <w:name w:val="Normal (Web)"/>
    <w:basedOn w:val="a"/>
    <w:uiPriority w:val="99"/>
    <w:semiHidden/>
    <w:unhideWhenUsed/>
    <w:rsid w:val="005E5955"/>
    <w:pPr>
      <w:spacing w:before="100" w:beforeAutospacing="1" w:after="100" w:afterAutospacing="1" w:line="240" w:lineRule="auto"/>
    </w:pPr>
    <w:rPr>
      <w:rFonts w:ascii="Times New Roman" w:hAnsi="Times New Roman"/>
      <w:sz w:val="24"/>
      <w:szCs w:val="24"/>
      <w:lang w:eastAsia="ru-RU"/>
    </w:rPr>
  </w:style>
  <w:style w:type="paragraph" w:styleId="a4">
    <w:name w:val="List Paragraph"/>
    <w:basedOn w:val="a"/>
    <w:uiPriority w:val="34"/>
    <w:qFormat/>
    <w:rsid w:val="005E5955"/>
    <w:pPr>
      <w:ind w:left="720"/>
      <w:contextualSpacing/>
    </w:pPr>
    <w:rPr>
      <w:rFonts w:eastAsiaTheme="minorEastAsia"/>
      <w:lang w:eastAsia="ru-RU"/>
    </w:rPr>
  </w:style>
  <w:style w:type="paragraph" w:styleId="a5">
    <w:name w:val="header"/>
    <w:basedOn w:val="a"/>
    <w:link w:val="a6"/>
    <w:uiPriority w:val="99"/>
    <w:unhideWhenUsed/>
    <w:rsid w:val="008B79C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B79C3"/>
    <w:rPr>
      <w:rFonts w:cs="Times New Roman"/>
    </w:rPr>
  </w:style>
  <w:style w:type="paragraph" w:styleId="a7">
    <w:name w:val="footer"/>
    <w:basedOn w:val="a"/>
    <w:link w:val="a8"/>
    <w:uiPriority w:val="99"/>
    <w:unhideWhenUsed/>
    <w:rsid w:val="008B79C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B79C3"/>
    <w:rPr>
      <w:rFonts w:cs="Times New Roman"/>
    </w:rPr>
  </w:style>
  <w:style w:type="paragraph" w:styleId="a9">
    <w:name w:val="Balloon Text"/>
    <w:basedOn w:val="a"/>
    <w:link w:val="aa"/>
    <w:uiPriority w:val="99"/>
    <w:semiHidden/>
    <w:unhideWhenUsed/>
    <w:rsid w:val="006A4ED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A4E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8056501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1798</Words>
  <Characters>10249</Characters>
  <Application>Microsoft Office Word</Application>
  <DocSecurity>0</DocSecurity>
  <Lines>85</Lines>
  <Paragraphs>24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7</cp:revision>
  <cp:lastPrinted>2022-02-16T15:03:00Z</cp:lastPrinted>
  <dcterms:created xsi:type="dcterms:W3CDTF">2021-10-20T05:47:00Z</dcterms:created>
  <dcterms:modified xsi:type="dcterms:W3CDTF">2023-02-02T17:31:00Z</dcterms:modified>
</cp:coreProperties>
</file>