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D3F025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sz w:val="28"/>
          <w:szCs w:val="28"/>
          <w:lang w:val="uk-UA"/>
        </w:rPr>
      </w:pPr>
      <w:bookmarkStart w:id="0" w:name="_Hlk187062149"/>
      <w:bookmarkStart w:id="1" w:name="_Hlk187061760"/>
      <w:r w:rsidRPr="00B01D86">
        <w:rPr>
          <w:rStyle w:val="a3"/>
          <w:b/>
          <w:bCs/>
          <w:sz w:val="28"/>
          <w:szCs w:val="28"/>
          <w:lang w:val="uk-UA"/>
        </w:rPr>
        <w:t>Кафедра загальної і клінічної фармакології та фармакогнозії</w:t>
      </w:r>
    </w:p>
    <w:p w14:paraId="39B066C0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sz w:val="28"/>
          <w:szCs w:val="28"/>
          <w:lang w:val="uk-UA"/>
        </w:rPr>
      </w:pPr>
    </w:p>
    <w:p w14:paraId="3F62AD24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i/>
          <w:iCs/>
          <w:sz w:val="28"/>
          <w:szCs w:val="28"/>
          <w:lang w:val="uk-UA"/>
        </w:rPr>
      </w:pPr>
    </w:p>
    <w:p w14:paraId="47990C4E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i/>
          <w:iCs/>
          <w:sz w:val="28"/>
          <w:szCs w:val="28"/>
          <w:lang w:val="uk-UA"/>
        </w:rPr>
      </w:pPr>
      <w:r w:rsidRPr="00B01D86">
        <w:rPr>
          <w:rStyle w:val="a3"/>
          <w:b/>
          <w:bCs/>
          <w:i/>
          <w:iCs/>
          <w:sz w:val="28"/>
          <w:szCs w:val="28"/>
          <w:lang w:val="uk-UA"/>
        </w:rPr>
        <w:t>Дисципліна: ФАРМАКОЛОГІЯ</w:t>
      </w:r>
    </w:p>
    <w:p w14:paraId="5579D816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i/>
          <w:iCs/>
          <w:sz w:val="28"/>
          <w:szCs w:val="28"/>
          <w:lang w:val="uk-UA"/>
        </w:rPr>
      </w:pPr>
    </w:p>
    <w:p w14:paraId="3E63B655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i/>
          <w:iCs/>
          <w:sz w:val="28"/>
          <w:szCs w:val="28"/>
          <w:lang w:val="uk-UA"/>
        </w:rPr>
      </w:pPr>
    </w:p>
    <w:p w14:paraId="1256BBC4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i/>
          <w:iCs/>
          <w:sz w:val="28"/>
          <w:szCs w:val="28"/>
          <w:lang w:val="uk-UA"/>
        </w:rPr>
      </w:pPr>
      <w:r w:rsidRPr="00B01D86">
        <w:rPr>
          <w:rStyle w:val="a3"/>
          <w:b/>
          <w:bCs/>
          <w:i/>
          <w:iCs/>
          <w:sz w:val="28"/>
          <w:szCs w:val="28"/>
          <w:lang w:val="uk-UA"/>
        </w:rPr>
        <w:t xml:space="preserve">Додатковий матеріал для вивчення теми СРС  по фармакології: </w:t>
      </w:r>
    </w:p>
    <w:p w14:paraId="246DFC5C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b/>
          <w:bCs/>
          <w:sz w:val="28"/>
          <w:szCs w:val="28"/>
          <w:lang w:val="uk-UA"/>
        </w:rPr>
      </w:pPr>
    </w:p>
    <w:p w14:paraId="2A772B11" w14:textId="0D45B8A2" w:rsidR="00735123" w:rsidRPr="00B01D86" w:rsidRDefault="00B2529B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b/>
          <w:bCs/>
          <w:sz w:val="28"/>
          <w:szCs w:val="28"/>
          <w:lang w:val="uk-UA"/>
        </w:rPr>
      </w:pPr>
      <w:r w:rsidRPr="00B01D86">
        <w:rPr>
          <w:b/>
          <w:bCs/>
          <w:sz w:val="28"/>
          <w:szCs w:val="28"/>
          <w:lang w:val="uk-UA"/>
        </w:rPr>
        <w:t>ЦЕРЕБРОВАСКУЛЯРНІ ЗАСОБИ</w:t>
      </w:r>
      <w:r w:rsidR="00735123" w:rsidRPr="00B01D86">
        <w:rPr>
          <w:b/>
          <w:bCs/>
          <w:sz w:val="28"/>
          <w:szCs w:val="28"/>
          <w:lang w:val="uk-UA"/>
        </w:rPr>
        <w:t>.</w:t>
      </w:r>
    </w:p>
    <w:p w14:paraId="38BBF641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i/>
          <w:iCs/>
          <w:sz w:val="28"/>
          <w:szCs w:val="28"/>
          <w:u w:val="single"/>
          <w:lang w:val="uk-UA"/>
        </w:rPr>
      </w:pPr>
    </w:p>
    <w:p w14:paraId="1DE2F59B" w14:textId="64F52744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i/>
          <w:iCs/>
          <w:sz w:val="28"/>
          <w:szCs w:val="28"/>
          <w:u w:val="single"/>
          <w:lang w:val="uk-UA"/>
        </w:rPr>
      </w:pPr>
      <w:r w:rsidRPr="00B01D86">
        <w:rPr>
          <w:rStyle w:val="a3"/>
          <w:b/>
          <w:bCs/>
          <w:i/>
          <w:iCs/>
          <w:sz w:val="28"/>
          <w:szCs w:val="28"/>
          <w:u w:val="single"/>
          <w:lang w:val="uk-UA"/>
        </w:rPr>
        <w:t xml:space="preserve">Затверджено на ПЦМК фармацевтичного факультету протокол №1 від </w:t>
      </w:r>
      <w:r w:rsidR="00B2529B" w:rsidRPr="00B01D86">
        <w:rPr>
          <w:rStyle w:val="a3"/>
          <w:b/>
          <w:bCs/>
          <w:i/>
          <w:iCs/>
          <w:sz w:val="28"/>
          <w:szCs w:val="28"/>
          <w:u w:val="single"/>
          <w:lang w:val="uk-UA"/>
        </w:rPr>
        <w:t>30</w:t>
      </w:r>
      <w:r w:rsidRPr="00B01D86">
        <w:rPr>
          <w:rStyle w:val="a3"/>
          <w:b/>
          <w:bCs/>
          <w:i/>
          <w:iCs/>
          <w:sz w:val="28"/>
          <w:szCs w:val="28"/>
          <w:u w:val="single"/>
          <w:lang w:val="uk-UA"/>
        </w:rPr>
        <w:t>.08.2</w:t>
      </w:r>
      <w:r w:rsidR="00B2529B" w:rsidRPr="00B01D86">
        <w:rPr>
          <w:rStyle w:val="a3"/>
          <w:b/>
          <w:bCs/>
          <w:i/>
          <w:iCs/>
          <w:sz w:val="28"/>
          <w:szCs w:val="28"/>
          <w:u w:val="single"/>
          <w:lang w:val="uk-UA"/>
        </w:rPr>
        <w:t>4</w:t>
      </w:r>
      <w:r w:rsidRPr="00B01D86">
        <w:rPr>
          <w:rStyle w:val="a3"/>
          <w:b/>
          <w:bCs/>
          <w:i/>
          <w:iCs/>
          <w:sz w:val="28"/>
          <w:szCs w:val="28"/>
          <w:u w:val="single"/>
          <w:lang w:val="uk-UA"/>
        </w:rPr>
        <w:t xml:space="preserve"> р.</w:t>
      </w:r>
    </w:p>
    <w:p w14:paraId="26F4F48E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sz w:val="28"/>
          <w:szCs w:val="28"/>
          <w:lang w:val="uk-UA"/>
        </w:rPr>
      </w:pPr>
    </w:p>
    <w:p w14:paraId="1E56BCBC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sz w:val="28"/>
          <w:szCs w:val="28"/>
          <w:lang w:val="uk-UA"/>
        </w:rPr>
      </w:pPr>
    </w:p>
    <w:p w14:paraId="00934747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sz w:val="28"/>
          <w:szCs w:val="28"/>
          <w:lang w:val="uk-UA"/>
        </w:rPr>
      </w:pPr>
      <w:r w:rsidRPr="00B01D86">
        <w:rPr>
          <w:rStyle w:val="a3"/>
          <w:sz w:val="28"/>
          <w:szCs w:val="28"/>
          <w:lang w:val="uk-UA"/>
        </w:rPr>
        <w:t xml:space="preserve">Доцент кафедри </w:t>
      </w:r>
      <w:r w:rsidRPr="00B01D86">
        <w:rPr>
          <w:rStyle w:val="a3"/>
          <w:b/>
          <w:bCs/>
          <w:sz w:val="28"/>
          <w:szCs w:val="28"/>
          <w:lang w:val="uk-UA"/>
        </w:rPr>
        <w:t>загальної і клінічної фармакології та фармакогнозії</w:t>
      </w:r>
    </w:p>
    <w:p w14:paraId="2D220D24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b/>
          <w:bCs/>
          <w:sz w:val="28"/>
          <w:szCs w:val="28"/>
          <w:lang w:val="uk-UA"/>
        </w:rPr>
      </w:pPr>
      <w:r w:rsidRPr="00B01D86">
        <w:rPr>
          <w:rStyle w:val="a3"/>
          <w:b/>
          <w:bCs/>
          <w:sz w:val="28"/>
          <w:szCs w:val="28"/>
          <w:lang w:val="uk-UA"/>
        </w:rPr>
        <w:t>Шемонаєва К.Ф.</w:t>
      </w:r>
    </w:p>
    <w:bookmarkEnd w:id="0"/>
    <w:p w14:paraId="0E5EE736" w14:textId="77777777" w:rsidR="00735123" w:rsidRPr="00B01D86" w:rsidRDefault="00735123" w:rsidP="00B01D86">
      <w:pPr>
        <w:tabs>
          <w:tab w:val="left" w:pos="360"/>
          <w:tab w:val="left" w:pos="709"/>
        </w:tabs>
        <w:spacing w:line="360" w:lineRule="auto"/>
        <w:ind w:firstLine="426"/>
        <w:jc w:val="both"/>
        <w:rPr>
          <w:rStyle w:val="a3"/>
          <w:sz w:val="28"/>
          <w:szCs w:val="28"/>
          <w:lang w:val="uk-UA"/>
        </w:rPr>
      </w:pPr>
    </w:p>
    <w:p w14:paraId="69D8CC62" w14:textId="77777777" w:rsidR="00735123" w:rsidRPr="00B01D86" w:rsidRDefault="00735123" w:rsidP="00B01D86">
      <w:pPr>
        <w:pStyle w:val="a4"/>
        <w:spacing w:before="0" w:beforeAutospacing="0" w:after="0" w:afterAutospacing="0" w:line="360" w:lineRule="auto"/>
        <w:ind w:firstLine="426"/>
        <w:jc w:val="both"/>
        <w:textAlignment w:val="baseline"/>
        <w:rPr>
          <w:rStyle w:val="a5"/>
          <w:color w:val="333333"/>
          <w:sz w:val="28"/>
          <w:szCs w:val="28"/>
          <w:lang w:val="uk-UA"/>
        </w:rPr>
      </w:pPr>
    </w:p>
    <w:p w14:paraId="3D25B1EB" w14:textId="77777777" w:rsidR="00735123" w:rsidRPr="00B01D86" w:rsidRDefault="00735123" w:rsidP="00B01D86">
      <w:pPr>
        <w:spacing w:line="360" w:lineRule="auto"/>
        <w:jc w:val="both"/>
        <w:rPr>
          <w:sz w:val="28"/>
          <w:szCs w:val="28"/>
          <w:lang w:val="uk-UA"/>
        </w:rPr>
      </w:pPr>
    </w:p>
    <w:p w14:paraId="6A274C26" w14:textId="77777777" w:rsidR="00735123" w:rsidRPr="00B01D86" w:rsidRDefault="00735123" w:rsidP="00B01D86">
      <w:pPr>
        <w:spacing w:line="360" w:lineRule="auto"/>
        <w:jc w:val="both"/>
        <w:rPr>
          <w:sz w:val="28"/>
          <w:szCs w:val="28"/>
          <w:lang w:val="uk-UA"/>
        </w:rPr>
      </w:pPr>
    </w:p>
    <w:p w14:paraId="00A14E76" w14:textId="77777777" w:rsidR="00735123" w:rsidRPr="00B01D86" w:rsidRDefault="00735123" w:rsidP="00B01D86">
      <w:pPr>
        <w:spacing w:line="360" w:lineRule="auto"/>
        <w:jc w:val="both"/>
        <w:rPr>
          <w:sz w:val="28"/>
          <w:szCs w:val="28"/>
          <w:lang w:val="uk-UA"/>
        </w:rPr>
      </w:pPr>
    </w:p>
    <w:p w14:paraId="474BB39F" w14:textId="77777777" w:rsidR="00735123" w:rsidRPr="00B01D86" w:rsidRDefault="00735123" w:rsidP="00B01D86">
      <w:pPr>
        <w:spacing w:line="360" w:lineRule="auto"/>
        <w:jc w:val="both"/>
        <w:rPr>
          <w:sz w:val="28"/>
          <w:szCs w:val="28"/>
          <w:lang w:val="uk-UA"/>
        </w:rPr>
      </w:pPr>
    </w:p>
    <w:p w14:paraId="3E36C1CA" w14:textId="77777777" w:rsidR="00735123" w:rsidRPr="00B01D86" w:rsidRDefault="00735123" w:rsidP="00B01D86">
      <w:pPr>
        <w:spacing w:line="360" w:lineRule="auto"/>
        <w:jc w:val="both"/>
        <w:rPr>
          <w:sz w:val="28"/>
          <w:szCs w:val="28"/>
          <w:lang w:val="uk-UA"/>
        </w:rPr>
      </w:pPr>
    </w:p>
    <w:bookmarkEnd w:id="1"/>
    <w:p w14:paraId="55B53E52" w14:textId="77777777" w:rsidR="00735123" w:rsidRPr="00B01D86" w:rsidRDefault="00735123" w:rsidP="00B01D86">
      <w:pPr>
        <w:spacing w:line="360" w:lineRule="auto"/>
        <w:jc w:val="both"/>
        <w:rPr>
          <w:sz w:val="28"/>
          <w:szCs w:val="28"/>
          <w:lang w:val="uk-UA"/>
        </w:rPr>
      </w:pPr>
    </w:p>
    <w:p w14:paraId="2524A4C2" w14:textId="77777777" w:rsidR="00735123" w:rsidRPr="00B01D86" w:rsidRDefault="00735123" w:rsidP="00B01D86">
      <w:pPr>
        <w:spacing w:line="360" w:lineRule="auto"/>
        <w:jc w:val="both"/>
        <w:rPr>
          <w:sz w:val="28"/>
          <w:szCs w:val="28"/>
          <w:lang w:val="uk-UA"/>
        </w:rPr>
      </w:pPr>
    </w:p>
    <w:p w14:paraId="09D17F92" w14:textId="77777777" w:rsidR="00735123" w:rsidRPr="00B01D86" w:rsidRDefault="00735123" w:rsidP="00B01D86">
      <w:pPr>
        <w:spacing w:line="360" w:lineRule="auto"/>
        <w:jc w:val="both"/>
        <w:rPr>
          <w:sz w:val="28"/>
          <w:szCs w:val="28"/>
          <w:lang w:val="uk-UA"/>
        </w:rPr>
      </w:pPr>
    </w:p>
    <w:p w14:paraId="4517B664" w14:textId="77777777" w:rsidR="00735123" w:rsidRPr="00B01D86" w:rsidRDefault="00735123" w:rsidP="00B01D86">
      <w:pPr>
        <w:spacing w:line="360" w:lineRule="auto"/>
        <w:jc w:val="both"/>
        <w:rPr>
          <w:sz w:val="28"/>
          <w:szCs w:val="28"/>
          <w:lang w:val="uk-UA"/>
        </w:rPr>
      </w:pPr>
    </w:p>
    <w:p w14:paraId="39BCF691" w14:textId="77777777" w:rsidR="00735123" w:rsidRPr="00B01D86" w:rsidRDefault="00735123" w:rsidP="00B01D86">
      <w:pPr>
        <w:spacing w:line="360" w:lineRule="auto"/>
        <w:jc w:val="both"/>
        <w:rPr>
          <w:sz w:val="28"/>
          <w:szCs w:val="28"/>
          <w:lang w:val="uk-UA"/>
        </w:rPr>
      </w:pPr>
    </w:p>
    <w:p w14:paraId="4736EA90" w14:textId="77777777" w:rsidR="004676FA" w:rsidRPr="00B01D86" w:rsidRDefault="004676FA" w:rsidP="00865410">
      <w:pPr>
        <w:tabs>
          <w:tab w:val="left" w:pos="360"/>
          <w:tab w:val="left" w:pos="709"/>
        </w:tabs>
        <w:spacing w:line="360" w:lineRule="auto"/>
        <w:ind w:firstLine="426"/>
        <w:jc w:val="center"/>
        <w:rPr>
          <w:b/>
          <w:bCs/>
          <w:sz w:val="28"/>
          <w:szCs w:val="28"/>
          <w:lang w:val="uk-UA"/>
        </w:rPr>
      </w:pPr>
      <w:r w:rsidRPr="00B01D86">
        <w:rPr>
          <w:b/>
          <w:bCs/>
          <w:sz w:val="28"/>
          <w:szCs w:val="28"/>
          <w:lang w:val="uk-UA"/>
        </w:rPr>
        <w:lastRenderedPageBreak/>
        <w:t>ЦЕРЕБРОВАСКУЛЯРНІ ЗАСОБИ.</w:t>
      </w:r>
    </w:p>
    <w:p w14:paraId="2EAC8D7F" w14:textId="77777777" w:rsidR="004676FA" w:rsidRPr="00B01D86" w:rsidRDefault="004676FA" w:rsidP="00B01D86">
      <w:pPr>
        <w:spacing w:line="360" w:lineRule="auto"/>
        <w:jc w:val="both"/>
        <w:rPr>
          <w:sz w:val="28"/>
          <w:szCs w:val="28"/>
          <w:lang w:val="uk-UA"/>
        </w:rPr>
      </w:pPr>
    </w:p>
    <w:p w14:paraId="726CC1C0" w14:textId="77777777" w:rsidR="004676FA" w:rsidRPr="00B01D86" w:rsidRDefault="004676FA" w:rsidP="001B49C1">
      <w:pPr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01D86">
        <w:rPr>
          <w:sz w:val="28"/>
          <w:szCs w:val="28"/>
          <w:lang w:val="uk-UA"/>
        </w:rPr>
        <w:t xml:space="preserve">Головний мозок є основним елементом центральної нервової системи. Саме він координує діяльність усіх без винятку систем та виконання </w:t>
      </w:r>
      <w:proofErr w:type="spellStart"/>
      <w:r w:rsidRPr="00B01D86">
        <w:rPr>
          <w:sz w:val="28"/>
          <w:szCs w:val="28"/>
          <w:lang w:val="uk-UA"/>
        </w:rPr>
        <w:t>життєво</w:t>
      </w:r>
      <w:proofErr w:type="spellEnd"/>
      <w:r w:rsidRPr="00B01D86">
        <w:rPr>
          <w:sz w:val="28"/>
          <w:szCs w:val="28"/>
          <w:lang w:val="uk-UA"/>
        </w:rPr>
        <w:t xml:space="preserve"> важливих функцій організму людини. Здатність сприймати навколишній світ, говорити, рухатися, дихати, злагоджена робота внутрішніх органів — все це безпосередньо залежить від повноцінного постачання тканин мозку кров'ю, яка насичує їх киснем та необхідними поживними речовинами (глюкозою, вітамінами, амінокислотами).</w:t>
      </w:r>
    </w:p>
    <w:p w14:paraId="5151E965" w14:textId="77777777" w:rsidR="004676FA" w:rsidRDefault="004676FA" w:rsidP="001B49C1">
      <w:pPr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B01D86">
        <w:rPr>
          <w:sz w:val="28"/>
          <w:szCs w:val="28"/>
          <w:lang w:val="uk-UA"/>
        </w:rPr>
        <w:t>Як наслідок, навіть найнезначніші порушення кровопостачання в такому випадку можуть призвести до надзвичайно небезпечних для життя та здоров'я наслідків. Уникнути такого сценарію та зберегти можливість жити повноцінним життям допоможуть препарати для покращення мозкового кровообігу.</w:t>
      </w:r>
    </w:p>
    <w:p w14:paraId="44EA2BC1" w14:textId="781A3A33" w:rsidR="001B49C1" w:rsidRDefault="001B49C1" w:rsidP="001B49C1">
      <w:pPr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1B49C1">
        <w:rPr>
          <w:sz w:val="28"/>
          <w:szCs w:val="28"/>
          <w:lang w:val="uk-UA"/>
        </w:rPr>
        <w:t xml:space="preserve">Інсульт та інші </w:t>
      </w:r>
      <w:proofErr w:type="spellStart"/>
      <w:r w:rsidRPr="001B49C1">
        <w:rPr>
          <w:sz w:val="28"/>
          <w:szCs w:val="28"/>
          <w:lang w:val="uk-UA"/>
        </w:rPr>
        <w:t>цереброваскулярні</w:t>
      </w:r>
      <w:proofErr w:type="spellEnd"/>
      <w:r w:rsidRPr="001B49C1">
        <w:rPr>
          <w:sz w:val="28"/>
          <w:szCs w:val="28"/>
          <w:lang w:val="uk-UA"/>
        </w:rPr>
        <w:t xml:space="preserve"> захворювання є найважливішими факторами ризику виникнення епілепсії в літньому віці — 30–50 % від усіх виявлених причин. Епілепсія може виникнути в момент після інсульту, а також може бути раннім клінічним проявом </w:t>
      </w:r>
      <w:proofErr w:type="spellStart"/>
      <w:r w:rsidRPr="001B49C1">
        <w:rPr>
          <w:sz w:val="28"/>
          <w:szCs w:val="28"/>
          <w:lang w:val="uk-UA"/>
        </w:rPr>
        <w:t>цереброваскулярного</w:t>
      </w:r>
      <w:proofErr w:type="spellEnd"/>
      <w:r w:rsidRPr="001B49C1">
        <w:rPr>
          <w:sz w:val="28"/>
          <w:szCs w:val="28"/>
          <w:lang w:val="uk-UA"/>
        </w:rPr>
        <w:t xml:space="preserve"> захворювання. Ризик розвитку епілепсії в перший рік після інсульту зростає в 20 разів (табл. </w:t>
      </w:r>
      <w:r w:rsidRPr="001B49C1">
        <w:rPr>
          <w:sz w:val="28"/>
          <w:szCs w:val="28"/>
        </w:rPr>
        <w:t xml:space="preserve">1). </w:t>
      </w:r>
      <w:proofErr w:type="spellStart"/>
      <w:r w:rsidRPr="001B49C1">
        <w:rPr>
          <w:sz w:val="28"/>
          <w:szCs w:val="28"/>
        </w:rPr>
        <w:t>Ризик</w:t>
      </w:r>
      <w:proofErr w:type="spellEnd"/>
      <w:r w:rsidRPr="001B49C1">
        <w:rPr>
          <w:sz w:val="28"/>
          <w:szCs w:val="28"/>
        </w:rPr>
        <w:t xml:space="preserve"> </w:t>
      </w:r>
      <w:proofErr w:type="spellStart"/>
      <w:r w:rsidRPr="001B49C1">
        <w:rPr>
          <w:sz w:val="28"/>
          <w:szCs w:val="28"/>
        </w:rPr>
        <w:t>розвитку</w:t>
      </w:r>
      <w:proofErr w:type="spellEnd"/>
      <w:r w:rsidRPr="001B49C1">
        <w:rPr>
          <w:sz w:val="28"/>
          <w:szCs w:val="28"/>
        </w:rPr>
        <w:t xml:space="preserve"> </w:t>
      </w:r>
      <w:proofErr w:type="spellStart"/>
      <w:r w:rsidRPr="001B49C1">
        <w:rPr>
          <w:sz w:val="28"/>
          <w:szCs w:val="28"/>
        </w:rPr>
        <w:t>епілептичних</w:t>
      </w:r>
      <w:proofErr w:type="spellEnd"/>
      <w:r w:rsidRPr="001B49C1">
        <w:rPr>
          <w:sz w:val="28"/>
          <w:szCs w:val="28"/>
        </w:rPr>
        <w:t xml:space="preserve"> </w:t>
      </w:r>
      <w:proofErr w:type="spellStart"/>
      <w:r w:rsidRPr="001B49C1">
        <w:rPr>
          <w:sz w:val="28"/>
          <w:szCs w:val="28"/>
        </w:rPr>
        <w:t>нападів</w:t>
      </w:r>
      <w:proofErr w:type="spellEnd"/>
      <w:r w:rsidRPr="001B49C1">
        <w:rPr>
          <w:sz w:val="28"/>
          <w:szCs w:val="28"/>
        </w:rPr>
        <w:t xml:space="preserve"> </w:t>
      </w:r>
      <w:proofErr w:type="spellStart"/>
      <w:r w:rsidRPr="001B49C1">
        <w:rPr>
          <w:sz w:val="28"/>
          <w:szCs w:val="28"/>
        </w:rPr>
        <w:t>протягом</w:t>
      </w:r>
      <w:proofErr w:type="spellEnd"/>
      <w:r w:rsidRPr="001B49C1">
        <w:rPr>
          <w:sz w:val="28"/>
          <w:szCs w:val="28"/>
        </w:rPr>
        <w:t xml:space="preserve"> 5 </w:t>
      </w:r>
      <w:proofErr w:type="spellStart"/>
      <w:r w:rsidRPr="001B49C1">
        <w:rPr>
          <w:sz w:val="28"/>
          <w:szCs w:val="28"/>
        </w:rPr>
        <w:t>років</w:t>
      </w:r>
      <w:proofErr w:type="spellEnd"/>
      <w:r w:rsidRPr="001B49C1">
        <w:rPr>
          <w:sz w:val="28"/>
          <w:szCs w:val="28"/>
        </w:rPr>
        <w:t xml:space="preserve"> </w:t>
      </w:r>
      <w:proofErr w:type="spellStart"/>
      <w:r w:rsidRPr="001B49C1">
        <w:rPr>
          <w:sz w:val="28"/>
          <w:szCs w:val="28"/>
        </w:rPr>
        <w:t>після</w:t>
      </w:r>
      <w:proofErr w:type="spellEnd"/>
      <w:r w:rsidRPr="001B49C1">
        <w:rPr>
          <w:sz w:val="28"/>
          <w:szCs w:val="28"/>
        </w:rPr>
        <w:t xml:space="preserve"> </w:t>
      </w:r>
      <w:proofErr w:type="spellStart"/>
      <w:r w:rsidRPr="001B49C1">
        <w:rPr>
          <w:sz w:val="28"/>
          <w:szCs w:val="28"/>
        </w:rPr>
        <w:t>першого</w:t>
      </w:r>
      <w:proofErr w:type="spellEnd"/>
      <w:r w:rsidRPr="001B49C1">
        <w:rPr>
          <w:sz w:val="28"/>
          <w:szCs w:val="28"/>
        </w:rPr>
        <w:t xml:space="preserve"> </w:t>
      </w:r>
      <w:proofErr w:type="spellStart"/>
      <w:r w:rsidRPr="001B49C1">
        <w:rPr>
          <w:sz w:val="28"/>
          <w:szCs w:val="28"/>
        </w:rPr>
        <w:t>інсульту</w:t>
      </w:r>
      <w:proofErr w:type="spellEnd"/>
      <w:r w:rsidRPr="001B49C1">
        <w:rPr>
          <w:sz w:val="28"/>
          <w:szCs w:val="28"/>
        </w:rPr>
        <w:t xml:space="preserve"> становить 11,5 % (за </w:t>
      </w:r>
      <w:proofErr w:type="spellStart"/>
      <w:r w:rsidRPr="001B49C1">
        <w:rPr>
          <w:sz w:val="28"/>
          <w:szCs w:val="28"/>
        </w:rPr>
        <w:t>різними</w:t>
      </w:r>
      <w:proofErr w:type="spellEnd"/>
      <w:r w:rsidRPr="001B49C1">
        <w:rPr>
          <w:sz w:val="28"/>
          <w:szCs w:val="28"/>
        </w:rPr>
        <w:t xml:space="preserve"> </w:t>
      </w:r>
      <w:proofErr w:type="spellStart"/>
      <w:r w:rsidRPr="001B49C1">
        <w:rPr>
          <w:sz w:val="28"/>
          <w:szCs w:val="28"/>
        </w:rPr>
        <w:t>даними</w:t>
      </w:r>
      <w:proofErr w:type="spellEnd"/>
      <w:r w:rsidRPr="001B49C1">
        <w:rPr>
          <w:sz w:val="28"/>
          <w:szCs w:val="28"/>
        </w:rPr>
        <w:t xml:space="preserve">, </w:t>
      </w:r>
      <w:proofErr w:type="spellStart"/>
      <w:r w:rsidRPr="001B49C1">
        <w:rPr>
          <w:sz w:val="28"/>
          <w:szCs w:val="28"/>
        </w:rPr>
        <w:t>від</w:t>
      </w:r>
      <w:proofErr w:type="spellEnd"/>
      <w:r w:rsidRPr="001B49C1">
        <w:rPr>
          <w:sz w:val="28"/>
          <w:szCs w:val="28"/>
        </w:rPr>
        <w:t xml:space="preserve"> 4 до 43 %).</w:t>
      </w:r>
    </w:p>
    <w:p w14:paraId="3B2E9884" w14:textId="07D85876" w:rsidR="003C220E" w:rsidRDefault="003C220E" w:rsidP="001B49C1">
      <w:pPr>
        <w:spacing w:line="360" w:lineRule="auto"/>
        <w:ind w:firstLine="426"/>
        <w:jc w:val="both"/>
        <w:rPr>
          <w:sz w:val="28"/>
          <w:szCs w:val="28"/>
          <w:lang w:val="uk-UA"/>
        </w:rPr>
      </w:pPr>
      <w:r w:rsidRPr="003C220E">
        <w:rPr>
          <w:sz w:val="28"/>
          <w:szCs w:val="28"/>
          <w:lang w:val="uk-UA"/>
        </w:rPr>
        <w:t xml:space="preserve">Лікування і профілактика </w:t>
      </w:r>
      <w:proofErr w:type="spellStart"/>
      <w:r w:rsidRPr="003C220E">
        <w:rPr>
          <w:sz w:val="28"/>
          <w:szCs w:val="28"/>
          <w:lang w:val="uk-UA"/>
        </w:rPr>
        <w:t>цереброваскулярної</w:t>
      </w:r>
      <w:proofErr w:type="spellEnd"/>
      <w:r w:rsidRPr="003C220E">
        <w:rPr>
          <w:sz w:val="28"/>
          <w:szCs w:val="28"/>
          <w:lang w:val="uk-UA"/>
        </w:rPr>
        <w:t xml:space="preserve"> патології включає корекцію судинних факторів ризику (контроль артеріального тиску (АТ), стабілізація ритму серця, нормалізація рівня глюкози і ліпопротеїдів у крові тощо), забезпечення здорового способу життя (конт­роль маси тіла, відмова від куріння, обмеження вживання кухонної солі тощо), покращення церебральної гемодинаміки, </w:t>
      </w:r>
      <w:proofErr w:type="spellStart"/>
      <w:r w:rsidRPr="003C220E">
        <w:rPr>
          <w:sz w:val="28"/>
          <w:szCs w:val="28"/>
          <w:lang w:val="uk-UA"/>
        </w:rPr>
        <w:t>нейропротекцію</w:t>
      </w:r>
      <w:proofErr w:type="spellEnd"/>
      <w:r w:rsidRPr="003C220E">
        <w:rPr>
          <w:sz w:val="28"/>
          <w:szCs w:val="28"/>
          <w:lang w:val="uk-UA"/>
        </w:rPr>
        <w:t xml:space="preserve"> (</w:t>
      </w:r>
      <w:proofErr w:type="spellStart"/>
      <w:r w:rsidRPr="003C220E">
        <w:rPr>
          <w:sz w:val="28"/>
          <w:szCs w:val="28"/>
          <w:lang w:val="uk-UA"/>
        </w:rPr>
        <w:t>цитопротекцію</w:t>
      </w:r>
      <w:proofErr w:type="spellEnd"/>
      <w:r w:rsidRPr="003C220E">
        <w:rPr>
          <w:sz w:val="28"/>
          <w:szCs w:val="28"/>
          <w:lang w:val="uk-UA"/>
        </w:rPr>
        <w:t xml:space="preserve">). </w:t>
      </w:r>
    </w:p>
    <w:p w14:paraId="0281A844" w14:textId="1CB3B74F" w:rsidR="003C220E" w:rsidRPr="003C220E" w:rsidRDefault="003C220E" w:rsidP="001B49C1">
      <w:pPr>
        <w:spacing w:line="360" w:lineRule="auto"/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Лікування направлено на </w:t>
      </w:r>
      <w:r w:rsidRPr="003C220E">
        <w:rPr>
          <w:sz w:val="28"/>
          <w:szCs w:val="28"/>
          <w:lang w:val="uk-UA"/>
        </w:rPr>
        <w:t xml:space="preserve">підвищення </w:t>
      </w:r>
      <w:proofErr w:type="spellStart"/>
      <w:r w:rsidRPr="003C220E">
        <w:rPr>
          <w:sz w:val="28"/>
          <w:szCs w:val="28"/>
          <w:lang w:val="uk-UA"/>
        </w:rPr>
        <w:t>нейротрофічної</w:t>
      </w:r>
      <w:proofErr w:type="spellEnd"/>
      <w:r w:rsidRPr="003C220E">
        <w:rPr>
          <w:sz w:val="28"/>
          <w:szCs w:val="28"/>
          <w:lang w:val="uk-UA"/>
        </w:rPr>
        <w:t xml:space="preserve"> та </w:t>
      </w:r>
      <w:proofErr w:type="spellStart"/>
      <w:r w:rsidRPr="003C220E">
        <w:rPr>
          <w:sz w:val="28"/>
          <w:szCs w:val="28"/>
          <w:lang w:val="uk-UA"/>
        </w:rPr>
        <w:t>нефропротекторної</w:t>
      </w:r>
      <w:proofErr w:type="spellEnd"/>
      <w:r w:rsidRPr="003C220E">
        <w:rPr>
          <w:sz w:val="28"/>
          <w:szCs w:val="28"/>
          <w:lang w:val="uk-UA"/>
        </w:rPr>
        <w:t xml:space="preserve"> дії, посилення енергетичного метаболізму мозку; нормалізація його </w:t>
      </w:r>
      <w:r w:rsidRPr="003C220E">
        <w:rPr>
          <w:sz w:val="28"/>
          <w:szCs w:val="28"/>
          <w:lang w:val="uk-UA"/>
        </w:rPr>
        <w:lastRenderedPageBreak/>
        <w:t>кровопостачання</w:t>
      </w:r>
      <w:r>
        <w:rPr>
          <w:sz w:val="28"/>
          <w:szCs w:val="28"/>
          <w:lang w:val="uk-UA"/>
        </w:rPr>
        <w:t xml:space="preserve">. </w:t>
      </w:r>
      <w:proofErr w:type="spellStart"/>
      <w:r w:rsidRPr="003C220E">
        <w:rPr>
          <w:sz w:val="28"/>
          <w:szCs w:val="28"/>
        </w:rPr>
        <w:t>Застосування</w:t>
      </w:r>
      <w:proofErr w:type="spellEnd"/>
      <w:r w:rsidRPr="003C220E">
        <w:rPr>
          <w:sz w:val="28"/>
          <w:szCs w:val="28"/>
        </w:rPr>
        <w:t xml:space="preserve"> препарату </w:t>
      </w:r>
      <w:proofErr w:type="spellStart"/>
      <w:r w:rsidRPr="003C220E">
        <w:rPr>
          <w:sz w:val="28"/>
          <w:szCs w:val="28"/>
        </w:rPr>
        <w:t>мілдронат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дозволяє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знизити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рівень</w:t>
      </w:r>
      <w:proofErr w:type="spellEnd"/>
      <w:r w:rsidRPr="003C220E">
        <w:rPr>
          <w:sz w:val="28"/>
          <w:szCs w:val="28"/>
        </w:rPr>
        <w:t xml:space="preserve"> транспорту </w:t>
      </w:r>
      <w:proofErr w:type="spellStart"/>
      <w:r w:rsidRPr="003C220E">
        <w:rPr>
          <w:sz w:val="28"/>
          <w:szCs w:val="28"/>
        </w:rPr>
        <w:t>вільних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жирних</w:t>
      </w:r>
      <w:proofErr w:type="spellEnd"/>
      <w:r w:rsidRPr="003C220E">
        <w:rPr>
          <w:sz w:val="28"/>
          <w:szCs w:val="28"/>
        </w:rPr>
        <w:t xml:space="preserve"> кислот і </w:t>
      </w:r>
      <w:proofErr w:type="spellStart"/>
      <w:r w:rsidRPr="003C220E">
        <w:rPr>
          <w:sz w:val="28"/>
          <w:szCs w:val="28"/>
        </w:rPr>
        <w:t>утворення</w:t>
      </w:r>
      <w:proofErr w:type="spellEnd"/>
      <w:r w:rsidRPr="003C220E">
        <w:rPr>
          <w:sz w:val="28"/>
          <w:szCs w:val="28"/>
        </w:rPr>
        <w:t xml:space="preserve"> в </w:t>
      </w:r>
      <w:proofErr w:type="spellStart"/>
      <w:r w:rsidRPr="003C220E">
        <w:rPr>
          <w:sz w:val="28"/>
          <w:szCs w:val="28"/>
        </w:rPr>
        <w:t>мітохондріях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ацил-КоА</w:t>
      </w:r>
      <w:proofErr w:type="spellEnd"/>
      <w:r w:rsidRPr="003C220E">
        <w:rPr>
          <w:sz w:val="28"/>
          <w:szCs w:val="28"/>
        </w:rPr>
        <w:t xml:space="preserve">. У </w:t>
      </w:r>
      <w:proofErr w:type="spellStart"/>
      <w:proofErr w:type="gramStart"/>
      <w:r w:rsidRPr="003C220E">
        <w:rPr>
          <w:sz w:val="28"/>
          <w:szCs w:val="28"/>
        </w:rPr>
        <w:t>клітинах</w:t>
      </w:r>
      <w:proofErr w:type="spellEnd"/>
      <w:r w:rsidRPr="003C220E">
        <w:rPr>
          <w:sz w:val="28"/>
          <w:szCs w:val="28"/>
        </w:rPr>
        <w:t xml:space="preserve">  </w:t>
      </w:r>
      <w:proofErr w:type="spellStart"/>
      <w:r w:rsidRPr="003C220E">
        <w:rPr>
          <w:sz w:val="28"/>
          <w:szCs w:val="28"/>
        </w:rPr>
        <w:t>замість</w:t>
      </w:r>
      <w:proofErr w:type="spellEnd"/>
      <w:proofErr w:type="gram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жирних</w:t>
      </w:r>
      <w:proofErr w:type="spellEnd"/>
      <w:r w:rsidRPr="003C220E">
        <w:rPr>
          <w:sz w:val="28"/>
          <w:szCs w:val="28"/>
        </w:rPr>
        <w:t xml:space="preserve"> кислот </w:t>
      </w:r>
      <w:proofErr w:type="spellStart"/>
      <w:r w:rsidRPr="003C220E">
        <w:rPr>
          <w:sz w:val="28"/>
          <w:szCs w:val="28"/>
        </w:rPr>
        <w:t>починає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використовуватися</w:t>
      </w:r>
      <w:proofErr w:type="spellEnd"/>
      <w:r w:rsidRPr="003C220E">
        <w:rPr>
          <w:sz w:val="28"/>
          <w:szCs w:val="28"/>
        </w:rPr>
        <w:t xml:space="preserve"> глюкоза, а </w:t>
      </w:r>
      <w:proofErr w:type="spellStart"/>
      <w:r w:rsidRPr="003C220E">
        <w:rPr>
          <w:sz w:val="28"/>
          <w:szCs w:val="28"/>
        </w:rPr>
        <w:t>цей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процес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потребує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менше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кисню</w:t>
      </w:r>
      <w:proofErr w:type="spellEnd"/>
      <w:r w:rsidRPr="003C220E">
        <w:rPr>
          <w:sz w:val="28"/>
          <w:szCs w:val="28"/>
        </w:rPr>
        <w:t xml:space="preserve">. </w:t>
      </w:r>
      <w:proofErr w:type="spellStart"/>
      <w:r w:rsidRPr="003C220E">
        <w:rPr>
          <w:sz w:val="28"/>
          <w:szCs w:val="28"/>
        </w:rPr>
        <w:t>Фізіологічний</w:t>
      </w:r>
      <w:proofErr w:type="spellEnd"/>
      <w:r w:rsidRPr="003C220E">
        <w:rPr>
          <w:sz w:val="28"/>
          <w:szCs w:val="28"/>
        </w:rPr>
        <w:t xml:space="preserve"> антиоксидант – альфа-</w:t>
      </w:r>
      <w:proofErr w:type="spellStart"/>
      <w:r w:rsidRPr="003C220E">
        <w:rPr>
          <w:sz w:val="28"/>
          <w:szCs w:val="28"/>
        </w:rPr>
        <w:t>ліпоєва</w:t>
      </w:r>
      <w:proofErr w:type="spellEnd"/>
      <w:r w:rsidRPr="003C220E">
        <w:rPr>
          <w:sz w:val="28"/>
          <w:szCs w:val="28"/>
        </w:rPr>
        <w:t xml:space="preserve"> кислота, яка </w:t>
      </w:r>
      <w:proofErr w:type="spellStart"/>
      <w:r w:rsidRPr="003C220E">
        <w:rPr>
          <w:sz w:val="28"/>
          <w:szCs w:val="28"/>
        </w:rPr>
        <w:t>нормалізує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енергетичний</w:t>
      </w:r>
      <w:proofErr w:type="spellEnd"/>
      <w:r w:rsidRPr="003C220E">
        <w:rPr>
          <w:sz w:val="28"/>
          <w:szCs w:val="28"/>
        </w:rPr>
        <w:t xml:space="preserve">, </w:t>
      </w:r>
      <w:proofErr w:type="spellStart"/>
      <w:r w:rsidRPr="003C220E">
        <w:rPr>
          <w:sz w:val="28"/>
          <w:szCs w:val="28"/>
        </w:rPr>
        <w:t>вуглеводний</w:t>
      </w:r>
      <w:proofErr w:type="spellEnd"/>
      <w:r w:rsidRPr="003C220E">
        <w:rPr>
          <w:sz w:val="28"/>
          <w:szCs w:val="28"/>
        </w:rPr>
        <w:t xml:space="preserve"> і </w:t>
      </w:r>
      <w:proofErr w:type="spellStart"/>
      <w:r w:rsidRPr="003C220E">
        <w:rPr>
          <w:sz w:val="28"/>
          <w:szCs w:val="28"/>
        </w:rPr>
        <w:t>ліпідний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обміни</w:t>
      </w:r>
      <w:proofErr w:type="spellEnd"/>
      <w:r w:rsidRPr="003C220E">
        <w:rPr>
          <w:sz w:val="28"/>
          <w:szCs w:val="28"/>
        </w:rPr>
        <w:t>.</w:t>
      </w:r>
      <w:r>
        <w:rPr>
          <w:sz w:val="28"/>
          <w:szCs w:val="28"/>
          <w:lang w:val="uk-UA"/>
        </w:rPr>
        <w:t xml:space="preserve"> </w:t>
      </w:r>
      <w:r w:rsidRPr="003C220E">
        <w:rPr>
          <w:sz w:val="28"/>
          <w:szCs w:val="28"/>
        </w:rPr>
        <w:t xml:space="preserve">До </w:t>
      </w:r>
      <w:proofErr w:type="spellStart"/>
      <w:r w:rsidRPr="003C220E">
        <w:rPr>
          <w:sz w:val="28"/>
          <w:szCs w:val="28"/>
        </w:rPr>
        <w:t>препаратів</w:t>
      </w:r>
      <w:proofErr w:type="spellEnd"/>
      <w:r w:rsidRPr="003C220E">
        <w:rPr>
          <w:sz w:val="28"/>
          <w:szCs w:val="28"/>
        </w:rPr>
        <w:t xml:space="preserve"> з </w:t>
      </w:r>
      <w:proofErr w:type="spellStart"/>
      <w:r w:rsidRPr="003C220E">
        <w:rPr>
          <w:sz w:val="28"/>
          <w:szCs w:val="28"/>
        </w:rPr>
        <w:t>нейропротекторною</w:t>
      </w:r>
      <w:proofErr w:type="spellEnd"/>
      <w:r w:rsidRPr="003C220E">
        <w:rPr>
          <w:sz w:val="28"/>
          <w:szCs w:val="28"/>
        </w:rPr>
        <w:t xml:space="preserve">, </w:t>
      </w:r>
      <w:proofErr w:type="spellStart"/>
      <w:r w:rsidRPr="003C220E">
        <w:rPr>
          <w:sz w:val="28"/>
          <w:szCs w:val="28"/>
        </w:rPr>
        <w:t>нейропластичною</w:t>
      </w:r>
      <w:proofErr w:type="spellEnd"/>
      <w:r w:rsidRPr="003C220E">
        <w:rPr>
          <w:sz w:val="28"/>
          <w:szCs w:val="28"/>
        </w:rPr>
        <w:t xml:space="preserve">, </w:t>
      </w:r>
      <w:proofErr w:type="spellStart"/>
      <w:r w:rsidRPr="003C220E">
        <w:rPr>
          <w:sz w:val="28"/>
          <w:szCs w:val="28"/>
        </w:rPr>
        <w:t>нейротрофічною</w:t>
      </w:r>
      <w:proofErr w:type="spellEnd"/>
      <w:r w:rsidRPr="003C220E">
        <w:rPr>
          <w:sz w:val="28"/>
          <w:szCs w:val="28"/>
        </w:rPr>
        <w:t xml:space="preserve"> та </w:t>
      </w:r>
      <w:proofErr w:type="spellStart"/>
      <w:r w:rsidRPr="003C220E">
        <w:rPr>
          <w:sz w:val="28"/>
          <w:szCs w:val="28"/>
        </w:rPr>
        <w:t>нейрорегенераторною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функцією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відноситься</w:t>
      </w:r>
      <w:proofErr w:type="spellEnd"/>
      <w:r w:rsidRPr="003C220E">
        <w:rPr>
          <w:sz w:val="28"/>
          <w:szCs w:val="28"/>
        </w:rPr>
        <w:t xml:space="preserve"> препарат </w:t>
      </w:r>
      <w:proofErr w:type="spellStart"/>
      <w:r w:rsidRPr="003C220E">
        <w:rPr>
          <w:sz w:val="28"/>
          <w:szCs w:val="28"/>
        </w:rPr>
        <w:t>церебролізін</w:t>
      </w:r>
      <w:proofErr w:type="spellEnd"/>
      <w:r w:rsidRPr="003C220E">
        <w:rPr>
          <w:sz w:val="28"/>
          <w:szCs w:val="28"/>
        </w:rPr>
        <w:t xml:space="preserve">, </w:t>
      </w:r>
      <w:proofErr w:type="spellStart"/>
      <w:r w:rsidRPr="003C220E">
        <w:rPr>
          <w:sz w:val="28"/>
          <w:szCs w:val="28"/>
        </w:rPr>
        <w:t>який</w:t>
      </w:r>
      <w:proofErr w:type="spellEnd"/>
      <w:r w:rsidRPr="003C220E">
        <w:rPr>
          <w:sz w:val="28"/>
          <w:szCs w:val="28"/>
        </w:rPr>
        <w:t xml:space="preserve"> </w:t>
      </w:r>
      <w:proofErr w:type="spellStart"/>
      <w:r w:rsidRPr="003C220E">
        <w:rPr>
          <w:sz w:val="28"/>
          <w:szCs w:val="28"/>
        </w:rPr>
        <w:t>застосовують</w:t>
      </w:r>
      <w:proofErr w:type="spellEnd"/>
      <w:r w:rsidRPr="003C220E">
        <w:rPr>
          <w:sz w:val="28"/>
          <w:szCs w:val="28"/>
        </w:rPr>
        <w:t xml:space="preserve"> курсами в дозах</w:t>
      </w:r>
      <w:r>
        <w:rPr>
          <w:sz w:val="28"/>
          <w:szCs w:val="28"/>
          <w:lang w:val="uk-UA"/>
        </w:rPr>
        <w:t xml:space="preserve">. </w:t>
      </w:r>
      <w:r w:rsidRPr="003C220E">
        <w:rPr>
          <w:sz w:val="28"/>
          <w:szCs w:val="28"/>
          <w:lang w:val="uk-UA"/>
        </w:rPr>
        <w:t xml:space="preserve">При підвищенні рівня тривоги відмічаються зміни активності </w:t>
      </w:r>
      <w:proofErr w:type="spellStart"/>
      <w:r w:rsidRPr="003C220E">
        <w:rPr>
          <w:sz w:val="28"/>
          <w:szCs w:val="28"/>
          <w:lang w:val="uk-UA"/>
        </w:rPr>
        <w:t>симпатоадреналової</w:t>
      </w:r>
      <w:proofErr w:type="spellEnd"/>
      <w:r w:rsidRPr="003C220E">
        <w:rPr>
          <w:sz w:val="28"/>
          <w:szCs w:val="28"/>
          <w:lang w:val="uk-UA"/>
        </w:rPr>
        <w:t xml:space="preserve">, </w:t>
      </w:r>
      <w:proofErr w:type="spellStart"/>
      <w:r w:rsidRPr="003C220E">
        <w:rPr>
          <w:sz w:val="28"/>
          <w:szCs w:val="28"/>
          <w:lang w:val="uk-UA"/>
        </w:rPr>
        <w:t>гіпоталамо</w:t>
      </w:r>
      <w:proofErr w:type="spellEnd"/>
      <w:r w:rsidRPr="003C220E">
        <w:rPr>
          <w:sz w:val="28"/>
          <w:szCs w:val="28"/>
          <w:lang w:val="uk-UA"/>
        </w:rPr>
        <w:t>-</w:t>
      </w:r>
      <w:proofErr w:type="spellStart"/>
      <w:r w:rsidRPr="003C220E">
        <w:rPr>
          <w:sz w:val="28"/>
          <w:szCs w:val="28"/>
          <w:lang w:val="uk-UA"/>
        </w:rPr>
        <w:t>гіпофізарно</w:t>
      </w:r>
      <w:proofErr w:type="spellEnd"/>
      <w:r w:rsidRPr="003C220E">
        <w:rPr>
          <w:sz w:val="28"/>
          <w:szCs w:val="28"/>
          <w:lang w:val="uk-UA"/>
        </w:rPr>
        <w:t>-надниркової й ренін-</w:t>
      </w:r>
      <w:proofErr w:type="spellStart"/>
      <w:r w:rsidRPr="003C220E">
        <w:rPr>
          <w:sz w:val="28"/>
          <w:szCs w:val="28"/>
          <w:lang w:val="uk-UA"/>
        </w:rPr>
        <w:t>ангіотензінальдостеронової</w:t>
      </w:r>
      <w:proofErr w:type="spellEnd"/>
      <w:r w:rsidRPr="003C220E">
        <w:rPr>
          <w:sz w:val="28"/>
          <w:szCs w:val="28"/>
          <w:lang w:val="uk-UA"/>
        </w:rPr>
        <w:t xml:space="preserve"> систем організму, які супроводжуються порушенням функцій ендотелію судин, що може призводити до прогресування </w:t>
      </w:r>
      <w:proofErr w:type="spellStart"/>
      <w:r w:rsidRPr="003C220E">
        <w:rPr>
          <w:sz w:val="28"/>
          <w:szCs w:val="28"/>
          <w:lang w:val="uk-UA"/>
        </w:rPr>
        <w:t>серцевосудинних</w:t>
      </w:r>
      <w:proofErr w:type="spellEnd"/>
      <w:r w:rsidRPr="003C220E">
        <w:rPr>
          <w:sz w:val="28"/>
          <w:szCs w:val="28"/>
          <w:lang w:val="uk-UA"/>
        </w:rPr>
        <w:t xml:space="preserve"> захворювань. Тому доцільним є призначення транквілізаторів</w:t>
      </w:r>
      <w:r>
        <w:rPr>
          <w:sz w:val="28"/>
          <w:szCs w:val="28"/>
          <w:lang w:val="uk-UA"/>
        </w:rPr>
        <w:t>.</w:t>
      </w:r>
    </w:p>
    <w:p w14:paraId="5BADC1BB" w14:textId="77777777" w:rsidR="004676FA" w:rsidRPr="00B01D86" w:rsidRDefault="004676FA" w:rsidP="00B01D86">
      <w:pPr>
        <w:spacing w:line="360" w:lineRule="auto"/>
        <w:jc w:val="both"/>
        <w:rPr>
          <w:i/>
          <w:iCs/>
          <w:sz w:val="28"/>
          <w:szCs w:val="28"/>
          <w:lang w:val="uk-UA"/>
        </w:rPr>
      </w:pPr>
      <w:r w:rsidRPr="00B01D86">
        <w:rPr>
          <w:i/>
          <w:iCs/>
          <w:sz w:val="28"/>
          <w:szCs w:val="28"/>
          <w:lang w:val="uk-UA"/>
        </w:rPr>
        <w:t>Класифікація та принцип дії препаратів</w:t>
      </w:r>
    </w:p>
    <w:p w14:paraId="33EE198C" w14:textId="77777777" w:rsidR="004676FA" w:rsidRPr="00B01D86" w:rsidRDefault="004676FA" w:rsidP="00B01D86">
      <w:pPr>
        <w:spacing w:line="360" w:lineRule="auto"/>
        <w:jc w:val="both"/>
        <w:rPr>
          <w:sz w:val="28"/>
          <w:szCs w:val="28"/>
          <w:lang w:val="uk-UA"/>
        </w:rPr>
      </w:pPr>
      <w:r w:rsidRPr="00B01D86">
        <w:rPr>
          <w:sz w:val="28"/>
          <w:szCs w:val="28"/>
          <w:lang w:val="uk-UA"/>
        </w:rPr>
        <w:t>Для відновлення повноцінного кровопостачання головного мозку сучасна медицина використовує цілий спектр лікарських засобів, серед яких:</w:t>
      </w:r>
    </w:p>
    <w:p w14:paraId="5056D7F1" w14:textId="77777777" w:rsidR="004676FA" w:rsidRPr="00B01D86" w:rsidRDefault="004676FA" w:rsidP="00B01D86">
      <w:pPr>
        <w:pStyle w:val="a6"/>
        <w:numPr>
          <w:ilvl w:val="0"/>
          <w:numId w:val="2"/>
        </w:numPr>
        <w:spacing w:line="360" w:lineRule="auto"/>
        <w:jc w:val="both"/>
        <w:rPr>
          <w:sz w:val="28"/>
          <w:szCs w:val="28"/>
          <w:lang w:val="uk-UA"/>
        </w:rPr>
      </w:pPr>
      <w:r w:rsidRPr="00B01D86">
        <w:rPr>
          <w:sz w:val="28"/>
          <w:szCs w:val="28"/>
          <w:lang w:val="uk-UA"/>
        </w:rPr>
        <w:t>Судинорозширювальні – застосування препаратів цієї групи дозволяє розширити просвіт судин і тим самим покращити кровопостачання тканин (засоби на основі нікотинової кислоти, нітрогліцерину).</w:t>
      </w:r>
    </w:p>
    <w:p w14:paraId="2EA7085A" w14:textId="77777777" w:rsidR="004676FA" w:rsidRPr="00B01D86" w:rsidRDefault="004676FA" w:rsidP="00B01D86">
      <w:pPr>
        <w:pStyle w:val="a6"/>
        <w:numPr>
          <w:ilvl w:val="0"/>
          <w:numId w:val="2"/>
        </w:numPr>
        <w:spacing w:line="360" w:lineRule="auto"/>
        <w:jc w:val="both"/>
        <w:rPr>
          <w:sz w:val="28"/>
          <w:szCs w:val="28"/>
          <w:lang w:val="uk-UA"/>
        </w:rPr>
      </w:pPr>
      <w:r w:rsidRPr="00B01D86">
        <w:rPr>
          <w:sz w:val="28"/>
          <w:szCs w:val="28"/>
          <w:lang w:val="uk-UA"/>
        </w:rPr>
        <w:t xml:space="preserve">Антикоагулянти та </w:t>
      </w:r>
      <w:proofErr w:type="spellStart"/>
      <w:r w:rsidRPr="00B01D86">
        <w:rPr>
          <w:sz w:val="28"/>
          <w:szCs w:val="28"/>
          <w:lang w:val="uk-UA"/>
        </w:rPr>
        <w:t>антиагреганти</w:t>
      </w:r>
      <w:proofErr w:type="spellEnd"/>
      <w:r w:rsidRPr="00B01D86">
        <w:rPr>
          <w:sz w:val="28"/>
          <w:szCs w:val="28"/>
          <w:lang w:val="uk-UA"/>
        </w:rPr>
        <w:t xml:space="preserve"> – медикаменти цих груп нормалізують в'язкість крові, перешкоджають утворенню згустків та тромбів (</w:t>
      </w:r>
      <w:proofErr w:type="spellStart"/>
      <w:r w:rsidRPr="00B01D86">
        <w:rPr>
          <w:sz w:val="28"/>
          <w:szCs w:val="28"/>
          <w:lang w:val="uk-UA"/>
        </w:rPr>
        <w:t>варфарин</w:t>
      </w:r>
      <w:proofErr w:type="spellEnd"/>
      <w:r w:rsidRPr="00B01D86">
        <w:rPr>
          <w:sz w:val="28"/>
          <w:szCs w:val="28"/>
          <w:lang w:val="uk-UA"/>
        </w:rPr>
        <w:t xml:space="preserve">, </w:t>
      </w:r>
      <w:proofErr w:type="spellStart"/>
      <w:r w:rsidRPr="00B01D86">
        <w:rPr>
          <w:sz w:val="28"/>
          <w:szCs w:val="28"/>
          <w:lang w:val="uk-UA"/>
        </w:rPr>
        <w:t>дикумарин</w:t>
      </w:r>
      <w:proofErr w:type="spellEnd"/>
      <w:r w:rsidRPr="00B01D86">
        <w:rPr>
          <w:sz w:val="28"/>
          <w:szCs w:val="28"/>
          <w:lang w:val="uk-UA"/>
        </w:rPr>
        <w:t xml:space="preserve">, ацетилсаліцилова кислота, </w:t>
      </w:r>
      <w:proofErr w:type="spellStart"/>
      <w:r w:rsidRPr="00B01D86">
        <w:rPr>
          <w:sz w:val="28"/>
          <w:szCs w:val="28"/>
          <w:lang w:val="uk-UA"/>
        </w:rPr>
        <w:t>клопідогрель</w:t>
      </w:r>
      <w:proofErr w:type="spellEnd"/>
      <w:r w:rsidRPr="00B01D86">
        <w:rPr>
          <w:sz w:val="28"/>
          <w:szCs w:val="28"/>
          <w:lang w:val="uk-UA"/>
        </w:rPr>
        <w:t>).</w:t>
      </w:r>
    </w:p>
    <w:p w14:paraId="58F82954" w14:textId="77777777" w:rsidR="004676FA" w:rsidRPr="00B01D86" w:rsidRDefault="004676FA" w:rsidP="00B01D86">
      <w:pPr>
        <w:pStyle w:val="a6"/>
        <w:numPr>
          <w:ilvl w:val="0"/>
          <w:numId w:val="2"/>
        </w:numPr>
        <w:spacing w:line="360" w:lineRule="auto"/>
        <w:jc w:val="both"/>
        <w:rPr>
          <w:sz w:val="28"/>
          <w:szCs w:val="28"/>
          <w:lang w:val="uk-UA"/>
        </w:rPr>
      </w:pPr>
      <w:r w:rsidRPr="00B01D86">
        <w:rPr>
          <w:sz w:val="28"/>
          <w:szCs w:val="28"/>
          <w:lang w:val="uk-UA"/>
        </w:rPr>
        <w:t>Засоби для зміцнення стінок судин та артерій – підвищують міцність та еластичність судин (</w:t>
      </w:r>
      <w:proofErr w:type="spellStart"/>
      <w:r w:rsidRPr="00B01D86">
        <w:rPr>
          <w:sz w:val="28"/>
          <w:szCs w:val="28"/>
          <w:lang w:val="uk-UA"/>
        </w:rPr>
        <w:t>дигідрокверцетин</w:t>
      </w:r>
      <w:proofErr w:type="spellEnd"/>
      <w:r w:rsidRPr="00B01D86">
        <w:rPr>
          <w:sz w:val="28"/>
          <w:szCs w:val="28"/>
          <w:lang w:val="uk-UA"/>
        </w:rPr>
        <w:t xml:space="preserve">, </w:t>
      </w:r>
      <w:proofErr w:type="spellStart"/>
      <w:r w:rsidRPr="00B01D86">
        <w:rPr>
          <w:sz w:val="28"/>
          <w:szCs w:val="28"/>
          <w:lang w:val="uk-UA"/>
        </w:rPr>
        <w:t>рутозид</w:t>
      </w:r>
      <w:proofErr w:type="spellEnd"/>
      <w:r w:rsidRPr="00B01D86">
        <w:rPr>
          <w:sz w:val="28"/>
          <w:szCs w:val="28"/>
          <w:lang w:val="uk-UA"/>
        </w:rPr>
        <w:t>).</w:t>
      </w:r>
    </w:p>
    <w:p w14:paraId="4356640A" w14:textId="77777777" w:rsidR="004676FA" w:rsidRPr="00B01D86" w:rsidRDefault="004676FA" w:rsidP="00B01D86">
      <w:pPr>
        <w:pStyle w:val="a6"/>
        <w:numPr>
          <w:ilvl w:val="0"/>
          <w:numId w:val="2"/>
        </w:numPr>
        <w:spacing w:line="360" w:lineRule="auto"/>
        <w:jc w:val="both"/>
        <w:rPr>
          <w:sz w:val="28"/>
          <w:szCs w:val="28"/>
          <w:lang w:val="uk-UA"/>
        </w:rPr>
      </w:pPr>
      <w:proofErr w:type="spellStart"/>
      <w:r w:rsidRPr="00B01D86">
        <w:rPr>
          <w:sz w:val="28"/>
          <w:szCs w:val="28"/>
          <w:lang w:val="uk-UA"/>
        </w:rPr>
        <w:t>Ноотропи</w:t>
      </w:r>
      <w:proofErr w:type="spellEnd"/>
      <w:r w:rsidRPr="00B01D86">
        <w:rPr>
          <w:sz w:val="28"/>
          <w:szCs w:val="28"/>
          <w:lang w:val="uk-UA"/>
        </w:rPr>
        <w:t xml:space="preserve"> – медикаменти цієї групи сприяють нормалізації метаболізму у нервових клітинах. Нині немає однозначних доказів наявності у цих препаратів терапевтичного ефекту (</w:t>
      </w:r>
      <w:proofErr w:type="spellStart"/>
      <w:r w:rsidRPr="00B01D86">
        <w:rPr>
          <w:sz w:val="28"/>
          <w:szCs w:val="28"/>
          <w:lang w:val="uk-UA"/>
        </w:rPr>
        <w:t>пірацетам</w:t>
      </w:r>
      <w:proofErr w:type="spellEnd"/>
      <w:r w:rsidRPr="00B01D86">
        <w:rPr>
          <w:sz w:val="28"/>
          <w:szCs w:val="28"/>
          <w:lang w:val="uk-UA"/>
        </w:rPr>
        <w:t xml:space="preserve">, </w:t>
      </w:r>
      <w:proofErr w:type="spellStart"/>
      <w:r w:rsidRPr="00B01D86">
        <w:rPr>
          <w:sz w:val="28"/>
          <w:szCs w:val="28"/>
          <w:lang w:val="uk-UA"/>
        </w:rPr>
        <w:t>вінпоцетин</w:t>
      </w:r>
      <w:proofErr w:type="spellEnd"/>
      <w:r w:rsidRPr="00B01D86">
        <w:rPr>
          <w:sz w:val="28"/>
          <w:szCs w:val="28"/>
          <w:lang w:val="uk-UA"/>
        </w:rPr>
        <w:t xml:space="preserve">, </w:t>
      </w:r>
      <w:proofErr w:type="spellStart"/>
      <w:r w:rsidRPr="00B01D86">
        <w:rPr>
          <w:sz w:val="28"/>
          <w:szCs w:val="28"/>
          <w:lang w:val="uk-UA"/>
        </w:rPr>
        <w:t>гопантенова</w:t>
      </w:r>
      <w:proofErr w:type="spellEnd"/>
      <w:r w:rsidRPr="00B01D86">
        <w:rPr>
          <w:sz w:val="28"/>
          <w:szCs w:val="28"/>
          <w:lang w:val="uk-UA"/>
        </w:rPr>
        <w:t xml:space="preserve"> кислота).</w:t>
      </w:r>
    </w:p>
    <w:p w14:paraId="6448BC61" w14:textId="77777777" w:rsidR="004676FA" w:rsidRPr="00B01D86" w:rsidRDefault="004676FA" w:rsidP="00B01D86">
      <w:pPr>
        <w:pStyle w:val="a6"/>
        <w:numPr>
          <w:ilvl w:val="0"/>
          <w:numId w:val="2"/>
        </w:numPr>
        <w:spacing w:line="360" w:lineRule="auto"/>
        <w:jc w:val="both"/>
        <w:rPr>
          <w:sz w:val="28"/>
          <w:szCs w:val="28"/>
          <w:lang w:val="uk-UA"/>
        </w:rPr>
      </w:pPr>
      <w:r w:rsidRPr="00B01D86">
        <w:rPr>
          <w:sz w:val="28"/>
          <w:szCs w:val="28"/>
          <w:lang w:val="uk-UA"/>
        </w:rPr>
        <w:t>Препарати, що коригують мікроциркуляцію – впливають на швидкість кровотоку, тонус мережі капілярів, артерій та вен (</w:t>
      </w:r>
      <w:proofErr w:type="spellStart"/>
      <w:r w:rsidRPr="00B01D86">
        <w:rPr>
          <w:sz w:val="28"/>
          <w:szCs w:val="28"/>
          <w:lang w:val="uk-UA"/>
        </w:rPr>
        <w:t>бетагістин</w:t>
      </w:r>
      <w:proofErr w:type="spellEnd"/>
      <w:r w:rsidRPr="00B01D86">
        <w:rPr>
          <w:sz w:val="28"/>
          <w:szCs w:val="28"/>
          <w:lang w:val="uk-UA"/>
        </w:rPr>
        <w:t>).</w:t>
      </w:r>
    </w:p>
    <w:p w14:paraId="57AC8126" w14:textId="28E0DF9C" w:rsidR="003C220E" w:rsidRPr="003C220E" w:rsidRDefault="003C220E" w:rsidP="003C220E">
      <w:pPr>
        <w:pStyle w:val="a4"/>
        <w:spacing w:before="0" w:beforeAutospacing="0" w:after="0" w:afterAutospacing="0" w:line="360" w:lineRule="auto"/>
        <w:ind w:firstLine="36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3C220E">
        <w:rPr>
          <w:color w:val="333333"/>
          <w:sz w:val="28"/>
          <w:szCs w:val="28"/>
          <w:lang w:val="uk-UA"/>
        </w:rPr>
        <w:lastRenderedPageBreak/>
        <w:t xml:space="preserve">Одним з важливих патогенетичних аспектів лікування хворих є корекція церебральної гемодинаміки. Для цього використовують </w:t>
      </w:r>
      <w:proofErr w:type="spellStart"/>
      <w:r w:rsidRPr="003C220E">
        <w:rPr>
          <w:color w:val="333333"/>
          <w:sz w:val="28"/>
          <w:szCs w:val="28"/>
          <w:lang w:val="uk-UA"/>
        </w:rPr>
        <w:t>вазоактивні</w:t>
      </w:r>
      <w:proofErr w:type="spellEnd"/>
      <w:r w:rsidRPr="003C220E">
        <w:rPr>
          <w:color w:val="333333"/>
          <w:sz w:val="28"/>
          <w:szCs w:val="28"/>
          <w:lang w:val="uk-UA"/>
        </w:rPr>
        <w:t xml:space="preserve"> препарати: – інгібітори </w:t>
      </w:r>
      <w:proofErr w:type="spellStart"/>
      <w:r w:rsidRPr="003C220E">
        <w:rPr>
          <w:color w:val="333333"/>
          <w:sz w:val="28"/>
          <w:szCs w:val="28"/>
          <w:lang w:val="uk-UA"/>
        </w:rPr>
        <w:t>фосфодіестерази</w:t>
      </w:r>
      <w:proofErr w:type="spellEnd"/>
      <w:r w:rsidRPr="003C220E">
        <w:rPr>
          <w:color w:val="333333"/>
          <w:sz w:val="28"/>
          <w:szCs w:val="28"/>
          <w:lang w:val="uk-UA"/>
        </w:rPr>
        <w:t xml:space="preserve"> (еуфілін, </w:t>
      </w:r>
      <w:proofErr w:type="spellStart"/>
      <w:r w:rsidRPr="003C220E">
        <w:rPr>
          <w:color w:val="333333"/>
          <w:sz w:val="28"/>
          <w:szCs w:val="28"/>
          <w:lang w:val="uk-UA"/>
        </w:rPr>
        <w:t>пентоксифілін</w:t>
      </w:r>
      <w:proofErr w:type="spellEnd"/>
      <w:r w:rsidRPr="003C220E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3C220E">
        <w:rPr>
          <w:color w:val="333333"/>
          <w:sz w:val="28"/>
          <w:szCs w:val="28"/>
          <w:lang w:val="uk-UA"/>
        </w:rPr>
        <w:t>вінпоцетін</w:t>
      </w:r>
      <w:proofErr w:type="spellEnd"/>
      <w:r w:rsidRPr="003C220E">
        <w:rPr>
          <w:color w:val="333333"/>
          <w:sz w:val="28"/>
          <w:szCs w:val="28"/>
          <w:lang w:val="uk-UA"/>
        </w:rPr>
        <w:t>); – блокатори кальцієвих каналів (</w:t>
      </w:r>
      <w:proofErr w:type="spellStart"/>
      <w:r w:rsidRPr="003C220E">
        <w:rPr>
          <w:color w:val="333333"/>
          <w:sz w:val="28"/>
          <w:szCs w:val="28"/>
          <w:lang w:val="uk-UA"/>
        </w:rPr>
        <w:t>німодіпін</w:t>
      </w:r>
      <w:proofErr w:type="spellEnd"/>
      <w:r w:rsidRPr="003C220E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3C220E">
        <w:rPr>
          <w:color w:val="333333"/>
          <w:sz w:val="28"/>
          <w:szCs w:val="28"/>
          <w:lang w:val="uk-UA"/>
        </w:rPr>
        <w:t>цинарізін</w:t>
      </w:r>
      <w:proofErr w:type="spellEnd"/>
      <w:r w:rsidRPr="003C220E">
        <w:rPr>
          <w:color w:val="333333"/>
          <w:sz w:val="28"/>
          <w:szCs w:val="28"/>
          <w:lang w:val="uk-UA"/>
        </w:rPr>
        <w:t xml:space="preserve">); – </w:t>
      </w:r>
      <w:r w:rsidRPr="003C220E">
        <w:rPr>
          <w:color w:val="333333"/>
          <w:sz w:val="28"/>
          <w:szCs w:val="28"/>
          <w:lang w:val="ru-RU"/>
        </w:rPr>
        <w:t>α</w:t>
      </w:r>
      <w:r w:rsidRPr="003C220E">
        <w:rPr>
          <w:color w:val="333333"/>
          <w:sz w:val="28"/>
          <w:szCs w:val="28"/>
          <w:lang w:val="uk-UA"/>
        </w:rPr>
        <w:t>2-адреноблокатори (</w:t>
      </w:r>
      <w:proofErr w:type="spellStart"/>
      <w:r w:rsidRPr="003C220E">
        <w:rPr>
          <w:color w:val="333333"/>
          <w:sz w:val="28"/>
          <w:szCs w:val="28"/>
          <w:lang w:val="uk-UA"/>
        </w:rPr>
        <w:t>ніцерголін</w:t>
      </w:r>
      <w:proofErr w:type="spellEnd"/>
      <w:r w:rsidRPr="003C220E">
        <w:rPr>
          <w:color w:val="333333"/>
          <w:sz w:val="28"/>
          <w:szCs w:val="28"/>
          <w:lang w:val="uk-UA"/>
        </w:rPr>
        <w:t xml:space="preserve">); – препарати з </w:t>
      </w:r>
      <w:proofErr w:type="spellStart"/>
      <w:r w:rsidRPr="003C220E">
        <w:rPr>
          <w:color w:val="333333"/>
          <w:sz w:val="28"/>
          <w:szCs w:val="28"/>
          <w:lang w:val="uk-UA"/>
        </w:rPr>
        <w:t>полімодальним</w:t>
      </w:r>
      <w:proofErr w:type="spellEnd"/>
      <w:r w:rsidRPr="003C220E">
        <w:rPr>
          <w:color w:val="333333"/>
          <w:sz w:val="28"/>
          <w:szCs w:val="28"/>
          <w:lang w:val="uk-UA"/>
        </w:rPr>
        <w:t xml:space="preserve"> механізмом дії (</w:t>
      </w:r>
      <w:proofErr w:type="spellStart"/>
      <w:r w:rsidRPr="003C220E">
        <w:rPr>
          <w:color w:val="333333"/>
          <w:sz w:val="28"/>
          <w:szCs w:val="28"/>
          <w:lang w:val="uk-UA"/>
        </w:rPr>
        <w:t>танакан</w:t>
      </w:r>
      <w:proofErr w:type="spellEnd"/>
      <w:r w:rsidRPr="003C220E">
        <w:rPr>
          <w:color w:val="333333"/>
          <w:sz w:val="28"/>
          <w:szCs w:val="28"/>
          <w:lang w:val="uk-UA"/>
        </w:rPr>
        <w:t>).</w:t>
      </w:r>
    </w:p>
    <w:p w14:paraId="46D711C7" w14:textId="358C051A" w:rsidR="00B01D86" w:rsidRPr="00B01D86" w:rsidRDefault="00B01D86" w:rsidP="003C220E">
      <w:pPr>
        <w:pStyle w:val="a4"/>
        <w:spacing w:before="0" w:beforeAutospacing="0" w:after="0" w:afterAutospacing="0" w:line="360" w:lineRule="auto"/>
        <w:ind w:firstLine="36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b/>
          <w:bCs/>
          <w:color w:val="333333"/>
          <w:sz w:val="28"/>
          <w:szCs w:val="28"/>
          <w:lang w:val="uk-UA"/>
        </w:rPr>
        <w:t>ЦЕРЕБРОПРОТЕКТОРИ </w:t>
      </w:r>
      <w:r w:rsidRPr="00B01D86">
        <w:rPr>
          <w:color w:val="333333"/>
          <w:sz w:val="28"/>
          <w:szCs w:val="28"/>
          <w:lang w:val="uk-UA"/>
        </w:rPr>
        <w:t>(лат. </w:t>
      </w:r>
      <w:proofErr w:type="spellStart"/>
      <w:r w:rsidRPr="00B01D86">
        <w:rPr>
          <w:i/>
          <w:iCs/>
          <w:color w:val="333333"/>
          <w:sz w:val="28"/>
          <w:szCs w:val="28"/>
          <w:lang w:val="uk-UA"/>
        </w:rPr>
        <w:t>cerebrum</w:t>
      </w:r>
      <w:proofErr w:type="spellEnd"/>
      <w:r w:rsidRPr="00B01D86">
        <w:rPr>
          <w:color w:val="333333"/>
          <w:sz w:val="28"/>
          <w:szCs w:val="28"/>
          <w:lang w:val="uk-UA"/>
        </w:rPr>
        <w:t> — головний мозок + </w:t>
      </w:r>
      <w:proofErr w:type="spellStart"/>
      <w:r w:rsidRPr="00B01D86">
        <w:rPr>
          <w:i/>
          <w:iCs/>
          <w:color w:val="333333"/>
          <w:sz w:val="28"/>
          <w:szCs w:val="28"/>
          <w:lang w:val="uk-UA"/>
        </w:rPr>
        <w:t>protector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 — захисник) — ЛП, що зменшують пошкодження та запобігають загибелі нейронів головного мозку в умовах гострої церебральної ішемії чи в </w:t>
      </w:r>
      <w:proofErr w:type="spellStart"/>
      <w:r w:rsidRPr="00B01D86">
        <w:rPr>
          <w:color w:val="333333"/>
          <w:sz w:val="28"/>
          <w:szCs w:val="28"/>
          <w:lang w:val="uk-UA"/>
        </w:rPr>
        <w:t>постреперфузійний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період інсульту, а також сприяють покращанню неврологічного статусу, швидшому регресу неврологічного дефіциту та поліпшенню </w:t>
      </w:r>
      <w:proofErr w:type="spellStart"/>
      <w:r w:rsidRPr="00B01D86">
        <w:rPr>
          <w:color w:val="333333"/>
          <w:sz w:val="28"/>
          <w:szCs w:val="28"/>
          <w:lang w:val="uk-UA"/>
        </w:rPr>
        <w:t>когнітивно-мнестичних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функцій у хворих, які перенесли гостру судинно-мозкову катастрофу (інсульт, </w:t>
      </w:r>
      <w:proofErr w:type="spellStart"/>
      <w:r w:rsidRPr="00B01D86">
        <w:rPr>
          <w:color w:val="333333"/>
          <w:sz w:val="28"/>
          <w:szCs w:val="28"/>
          <w:lang w:val="uk-UA"/>
        </w:rPr>
        <w:t>транзиторну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ішемічну атаку), черепно-мозкову травму та при хронічній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цереброваскулярній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недостатності і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нейродеструктивних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захворюваннях ЦНС різного генезу (енцефалопатія, судинна деменція, хвороба Альцгеймера тощо).</w:t>
      </w:r>
    </w:p>
    <w:p w14:paraId="43D1DD54" w14:textId="4D465420" w:rsidR="00B01D86" w:rsidRP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t xml:space="preserve">Спільною патогенетичною рисою у формуванні гострої церебральної ішемії та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нейродегенеративних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захворювань ЦНС є запуск реакцій глутамат-кальцієвого каскаду. У формуванні цього феномену виділяють три послідовні ланки — індукцію, ампліфікацію (розвиток </w:t>
      </w:r>
      <w:proofErr w:type="spellStart"/>
      <w:r w:rsidRPr="00B01D86">
        <w:rPr>
          <w:color w:val="333333"/>
          <w:sz w:val="28"/>
          <w:szCs w:val="28"/>
          <w:lang w:val="uk-UA"/>
        </w:rPr>
        <w:t>глутаматної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</w:t>
      </w:r>
      <w:proofErr w:type="spellStart"/>
      <w:r w:rsidRPr="00B01D86">
        <w:rPr>
          <w:color w:val="333333"/>
          <w:sz w:val="28"/>
          <w:szCs w:val="28"/>
          <w:lang w:val="uk-UA"/>
        </w:rPr>
        <w:t>ексайтотоксичності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з наступним лавиноподібним потраплянням іонів Са</w:t>
      </w:r>
      <w:r w:rsidRPr="00B01D86">
        <w:rPr>
          <w:color w:val="333333"/>
          <w:sz w:val="28"/>
          <w:szCs w:val="28"/>
          <w:vertAlign w:val="superscript"/>
          <w:lang w:val="uk-UA"/>
        </w:rPr>
        <w:t>2+ </w:t>
      </w:r>
      <w:r w:rsidRPr="00B01D86">
        <w:rPr>
          <w:color w:val="333333"/>
          <w:sz w:val="28"/>
          <w:szCs w:val="28"/>
          <w:lang w:val="uk-UA"/>
        </w:rPr>
        <w:t xml:space="preserve">до нейронів) та експресію, під час якої </w:t>
      </w:r>
      <w:proofErr w:type="spellStart"/>
      <w:r w:rsidRPr="00B01D86">
        <w:rPr>
          <w:color w:val="333333"/>
          <w:sz w:val="28"/>
          <w:szCs w:val="28"/>
          <w:lang w:val="uk-UA"/>
        </w:rPr>
        <w:t>ініціюється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</w:t>
      </w:r>
      <w:proofErr w:type="spellStart"/>
      <w:r w:rsidRPr="00B01D86">
        <w:rPr>
          <w:color w:val="333333"/>
          <w:sz w:val="28"/>
          <w:szCs w:val="28"/>
          <w:lang w:val="uk-UA"/>
        </w:rPr>
        <w:t>оксидативний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стрес. Морфологічним проявом зазначених </w:t>
      </w:r>
      <w:proofErr w:type="spellStart"/>
      <w:r w:rsidRPr="00B01D86">
        <w:rPr>
          <w:color w:val="333333"/>
          <w:sz w:val="28"/>
          <w:szCs w:val="28"/>
          <w:lang w:val="uk-UA"/>
        </w:rPr>
        <w:t>патобіохімічних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змін у нервовій тканині є утворення ішемічного вогнища (ядра), де внаслідок відсутності кровопостачання переважає некротичний тип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нейрональної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смерті. Навколо ядра за рахунок мінімального кровопостачання, достатнього для активації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нейроапоптозу</w:t>
      </w:r>
      <w:proofErr w:type="spellEnd"/>
      <w:r w:rsidRPr="00B01D86">
        <w:rPr>
          <w:color w:val="333333"/>
          <w:sz w:val="28"/>
          <w:szCs w:val="28"/>
          <w:lang w:val="uk-UA"/>
        </w:rPr>
        <w:t>, відбувається формування ішемічної напівтіні (</w:t>
      </w:r>
      <w:proofErr w:type="spellStart"/>
      <w:r w:rsidRPr="00B01D86">
        <w:rPr>
          <w:color w:val="333333"/>
          <w:sz w:val="28"/>
          <w:szCs w:val="28"/>
          <w:lang w:val="uk-UA"/>
        </w:rPr>
        <w:t>пенумбри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). Зміни, що мають місце в нейронах зони </w:t>
      </w:r>
      <w:proofErr w:type="spellStart"/>
      <w:r w:rsidRPr="00B01D86">
        <w:rPr>
          <w:color w:val="333333"/>
          <w:sz w:val="28"/>
          <w:szCs w:val="28"/>
          <w:lang w:val="uk-UA"/>
        </w:rPr>
        <w:t>пенумбри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на відміну від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нейроцитів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ядра, є до певного часу потенційно оборотними, а стадійність і багатовекторність механізмів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нейрональної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деструкції робить можливим використання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церебропотекторів</w:t>
      </w:r>
      <w:proofErr w:type="spellEnd"/>
      <w:r w:rsidR="00DF04D4">
        <w:rPr>
          <w:color w:val="333333"/>
          <w:sz w:val="28"/>
          <w:szCs w:val="28"/>
          <w:lang w:val="uk-UA"/>
        </w:rPr>
        <w:t>.</w:t>
      </w:r>
    </w:p>
    <w:p w14:paraId="6524B7C7" w14:textId="77777777" w:rsidR="00B01D86" w:rsidRP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lastRenderedPageBreak/>
        <w:t xml:space="preserve">Залежно від часу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церебропротекторна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терапія поділяється на первинну та вторинну. Завдання первинної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церебропротекції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спрямовані, перш за все, на переривання швидких реакцій глутамат-кальцієвого каскаду, а у разі ішемічного інсульту — на </w:t>
      </w:r>
      <w:proofErr w:type="spellStart"/>
      <w:r w:rsidRPr="00B01D86">
        <w:rPr>
          <w:color w:val="333333"/>
          <w:sz w:val="28"/>
          <w:szCs w:val="28"/>
          <w:lang w:val="uk-UA"/>
        </w:rPr>
        <w:t>реканалізацію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</w:t>
      </w:r>
      <w:proofErr w:type="spellStart"/>
      <w:r w:rsidRPr="00B01D86">
        <w:rPr>
          <w:color w:val="333333"/>
          <w:sz w:val="28"/>
          <w:szCs w:val="28"/>
          <w:lang w:val="uk-UA"/>
        </w:rPr>
        <w:t>інфарктзалежної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судини та/чи покращання реологічних властивостей крові, а також профілактику повторного тромбозу. Первинна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церебропротекція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починається з перших хвилин ішемії та триває протягом перших 3 діб.</w:t>
      </w:r>
    </w:p>
    <w:p w14:paraId="337E6704" w14:textId="6E9F4B77" w:rsid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t xml:space="preserve">Вторинна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церебропротекція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спрямована на блокаду </w:t>
      </w:r>
      <w:proofErr w:type="spellStart"/>
      <w:r w:rsidRPr="00B01D86">
        <w:rPr>
          <w:color w:val="333333"/>
          <w:sz w:val="28"/>
          <w:szCs w:val="28"/>
          <w:lang w:val="uk-UA"/>
        </w:rPr>
        <w:t>прозапальних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цитокінів, молекул клітинної адгезії, гальмування </w:t>
      </w:r>
      <w:proofErr w:type="spellStart"/>
      <w:r w:rsidRPr="00B01D86">
        <w:rPr>
          <w:color w:val="333333"/>
          <w:sz w:val="28"/>
          <w:szCs w:val="28"/>
          <w:lang w:val="uk-UA"/>
        </w:rPr>
        <w:t>прооксидантних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ферментів, відновлення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нейротрофіки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та переривання </w:t>
      </w:r>
      <w:proofErr w:type="spellStart"/>
      <w:r w:rsidRPr="00B01D86">
        <w:rPr>
          <w:color w:val="333333"/>
          <w:sz w:val="28"/>
          <w:szCs w:val="28"/>
          <w:lang w:val="uk-UA"/>
        </w:rPr>
        <w:t>апоптозу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. Цей вид терапії розпочинається через 6–12 год після судинної катастрофи та продовжується щонайменше 7 діб. Її ефективність багато в чому залежить від своєчасної </w:t>
      </w:r>
      <w:proofErr w:type="spellStart"/>
      <w:r w:rsidRPr="00B01D86">
        <w:rPr>
          <w:color w:val="333333"/>
          <w:sz w:val="28"/>
          <w:szCs w:val="28"/>
          <w:lang w:val="uk-UA"/>
        </w:rPr>
        <w:t>реканалізації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(при ішемічному інсульті) та блокаді швидких реакцій глутамат-кальцієвого каскаду. У пізній період церебральної ішемії головним завданням вторинної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церебропротекції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є модулювання </w:t>
      </w:r>
      <w:proofErr w:type="spellStart"/>
      <w:r w:rsidRPr="00B01D86">
        <w:rPr>
          <w:color w:val="333333"/>
          <w:sz w:val="28"/>
          <w:szCs w:val="28"/>
          <w:lang w:val="uk-UA"/>
        </w:rPr>
        <w:t>регенераторно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-репаративних процесів та відновлення порушених когнітивних функцій. За переважанням того чи іншого механізму захисної дії на </w:t>
      </w:r>
      <w:proofErr w:type="spellStart"/>
      <w:r w:rsidRPr="00B01D86">
        <w:rPr>
          <w:color w:val="333333"/>
          <w:sz w:val="28"/>
          <w:szCs w:val="28"/>
          <w:lang w:val="uk-UA"/>
        </w:rPr>
        <w:t>ішемізований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головний мозок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proofErr w:type="spellEnd"/>
      <w:r w:rsidR="00DF04D4" w:rsidRPr="00B01D86">
        <w:rPr>
          <w:color w:val="333333"/>
          <w:sz w:val="28"/>
          <w:szCs w:val="28"/>
          <w:lang w:val="uk-UA"/>
        </w:rPr>
        <w:t xml:space="preserve"> </w:t>
      </w:r>
      <w:r w:rsidRPr="00B01D86">
        <w:rPr>
          <w:color w:val="333333"/>
          <w:sz w:val="28"/>
          <w:szCs w:val="28"/>
          <w:lang w:val="uk-UA"/>
        </w:rPr>
        <w:t xml:space="preserve">класифікують на: блокатори NMDA-рецепторів, антиоксиданти, </w:t>
      </w:r>
      <w:proofErr w:type="spellStart"/>
      <w:r w:rsidRPr="00B01D86">
        <w:rPr>
          <w:color w:val="333333"/>
          <w:sz w:val="28"/>
          <w:szCs w:val="28"/>
          <w:lang w:val="uk-UA"/>
        </w:rPr>
        <w:t>антигіпоксанти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вазоактивні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препарати, препарати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нейротрофічної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дії, препарати, що покращують енергетичний тканинний метаболізм (</w:t>
      </w:r>
      <w:proofErr w:type="spellStart"/>
      <w:r w:rsidRPr="00B01D86">
        <w:rPr>
          <w:color w:val="333333"/>
          <w:sz w:val="28"/>
          <w:szCs w:val="28"/>
          <w:lang w:val="uk-UA"/>
        </w:rPr>
        <w:t>метаболітотропні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нейропротектори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). Більшість представників наведеної класифікації не чинять вибіркову дію на нейрони головного мозку, впливаючи на метаболізм різних органів, а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церебропротекторний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ефект є складовою їх </w:t>
      </w:r>
      <w:proofErr w:type="spellStart"/>
      <w:r w:rsidRPr="00B01D86">
        <w:rPr>
          <w:color w:val="333333"/>
          <w:sz w:val="28"/>
          <w:szCs w:val="28"/>
          <w:lang w:val="uk-UA"/>
        </w:rPr>
        <w:t>цито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- та </w:t>
      </w:r>
      <w:proofErr w:type="spellStart"/>
      <w:r w:rsidRPr="00B01D86">
        <w:rPr>
          <w:color w:val="333333"/>
          <w:sz w:val="28"/>
          <w:szCs w:val="28"/>
          <w:lang w:val="uk-UA"/>
        </w:rPr>
        <w:t>органопротекторних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властивостей. </w:t>
      </w:r>
    </w:p>
    <w:p w14:paraId="06CF9B00" w14:textId="55C7AF86" w:rsid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t xml:space="preserve">Тому за клініко-функціональними особливостями </w:t>
      </w:r>
      <w:bookmarkStart w:id="2" w:name="_Hlk187409372"/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bookmarkEnd w:id="2"/>
      <w:proofErr w:type="spellEnd"/>
      <w:r w:rsidRPr="00B01D86">
        <w:rPr>
          <w:color w:val="333333"/>
          <w:sz w:val="28"/>
          <w:szCs w:val="28"/>
          <w:lang w:val="uk-UA"/>
        </w:rPr>
        <w:t xml:space="preserve"> класифікують на: </w:t>
      </w:r>
    </w:p>
    <w:p w14:paraId="14F4718A" w14:textId="77777777" w:rsid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t xml:space="preserve">а) препарати з широким діапазоном </w:t>
      </w:r>
      <w:proofErr w:type="spellStart"/>
      <w:r w:rsidRPr="00B01D86">
        <w:rPr>
          <w:color w:val="333333"/>
          <w:sz w:val="28"/>
          <w:szCs w:val="28"/>
          <w:lang w:val="uk-UA"/>
        </w:rPr>
        <w:t>цитопротекторних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ефектів, які володіють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церебропротекторними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властивостями (</w:t>
      </w:r>
      <w:proofErr w:type="spellStart"/>
      <w:r w:rsidRPr="00B01D86">
        <w:rPr>
          <w:color w:val="333333"/>
          <w:sz w:val="28"/>
          <w:szCs w:val="28"/>
          <w:lang w:val="uk-UA"/>
        </w:rPr>
        <w:t>антигіпоксанти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антиоксиданти); </w:t>
      </w:r>
    </w:p>
    <w:p w14:paraId="4CAB4C72" w14:textId="310DD185" w:rsidR="00B01D86" w:rsidRP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lastRenderedPageBreak/>
        <w:t xml:space="preserve">б) препарати з переважним впливом на головний мозок: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із широким спектром дії без специфічного тропізму до окремих церебральних структур при дії різних етіологічних чинників та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з вибірковим впливом на окремі структури головного мозку (</w:t>
      </w:r>
      <w:proofErr w:type="spellStart"/>
      <w:r w:rsidRPr="00B01D86">
        <w:rPr>
          <w:color w:val="333333"/>
          <w:sz w:val="28"/>
          <w:szCs w:val="28"/>
          <w:lang w:val="uk-UA"/>
        </w:rPr>
        <w:t>холінергічні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системи, </w:t>
      </w:r>
      <w:proofErr w:type="spellStart"/>
      <w:r w:rsidRPr="00B01D86">
        <w:rPr>
          <w:color w:val="333333"/>
          <w:sz w:val="28"/>
          <w:szCs w:val="28"/>
          <w:lang w:val="uk-UA"/>
        </w:rPr>
        <w:t>гліальні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клітини, сіру речовину тощо).</w:t>
      </w:r>
    </w:p>
    <w:p w14:paraId="21AC0968" w14:textId="77777777" w:rsid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t xml:space="preserve">У первинній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церебропротекції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новим та перспективним напрямком є пошук речовин, що здатні перешкоджати наростанню </w:t>
      </w:r>
      <w:proofErr w:type="spellStart"/>
      <w:r w:rsidRPr="00B01D86">
        <w:rPr>
          <w:color w:val="333333"/>
          <w:sz w:val="28"/>
          <w:szCs w:val="28"/>
          <w:lang w:val="uk-UA"/>
        </w:rPr>
        <w:t>ексайтотоксичності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за рахунок повної або часткової блокади NMDA-рецепторів. Антагоністи NMDA-рецепторів зменшують потік іонів Са</w:t>
      </w:r>
      <w:r w:rsidRPr="00B01D86">
        <w:rPr>
          <w:color w:val="333333"/>
          <w:sz w:val="28"/>
          <w:szCs w:val="28"/>
          <w:vertAlign w:val="superscript"/>
          <w:lang w:val="uk-UA"/>
        </w:rPr>
        <w:t>2+</w:t>
      </w:r>
      <w:r w:rsidRPr="00B01D86">
        <w:rPr>
          <w:color w:val="333333"/>
          <w:sz w:val="28"/>
          <w:szCs w:val="28"/>
          <w:lang w:val="uk-UA"/>
        </w:rPr>
        <w:t xml:space="preserve"> у клітину через </w:t>
      </w:r>
      <w:proofErr w:type="spellStart"/>
      <w:r w:rsidRPr="00B01D86">
        <w:rPr>
          <w:color w:val="333333"/>
          <w:sz w:val="28"/>
          <w:szCs w:val="28"/>
          <w:lang w:val="uk-UA"/>
        </w:rPr>
        <w:t>агоністзалежні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кальцієві канали. Вони обмежують ділянку інфаркту мозку, перш за все, за рахунок збереження живої зони ішемічної напівтіні. Цей процес реалізується завдяки блокаді ішемічного каскаду, який призводить до «кальцієвої смерті» у сусідніх клітинах.</w:t>
      </w:r>
    </w:p>
    <w:p w14:paraId="62A0949E" w14:textId="0E3EFE3C" w:rsidR="00B01D86" w:rsidRP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t xml:space="preserve"> Наслідком цього може бути трансформація в осередках ішемії морфологічного типу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нейрональної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смерті з некротичного на більш «м’який» </w:t>
      </w:r>
      <w:proofErr w:type="spellStart"/>
      <w:r w:rsidRPr="00B01D86">
        <w:rPr>
          <w:color w:val="333333"/>
          <w:sz w:val="28"/>
          <w:szCs w:val="28"/>
          <w:lang w:val="uk-UA"/>
        </w:rPr>
        <w:t>апоптотичний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. Синхронно до таких змін у зоні ішемії, </w:t>
      </w:r>
      <w:proofErr w:type="spellStart"/>
      <w:r w:rsidRPr="00B01D86">
        <w:rPr>
          <w:color w:val="333333"/>
          <w:sz w:val="28"/>
          <w:szCs w:val="28"/>
          <w:lang w:val="uk-UA"/>
        </w:rPr>
        <w:t>пенумбрі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та в ділянках із відновленим кровообігом відбувається гальмування </w:t>
      </w:r>
      <w:proofErr w:type="spellStart"/>
      <w:r w:rsidRPr="00B01D86">
        <w:rPr>
          <w:color w:val="333333"/>
          <w:sz w:val="28"/>
          <w:szCs w:val="28"/>
          <w:lang w:val="uk-UA"/>
        </w:rPr>
        <w:t>апоптозу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що дозволяє зберегти нормальний </w:t>
      </w:r>
      <w:proofErr w:type="spellStart"/>
      <w:r w:rsidRPr="00B01D86">
        <w:rPr>
          <w:color w:val="333333"/>
          <w:sz w:val="28"/>
          <w:szCs w:val="28"/>
          <w:lang w:val="uk-UA"/>
        </w:rPr>
        <w:t>морфофункціональний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стан нейронів.</w:t>
      </w:r>
    </w:p>
    <w:p w14:paraId="45725E1F" w14:textId="77777777" w:rsidR="00B01D86" w:rsidRP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t>Препарати, які впливають на NMDA-</w:t>
      </w:r>
      <w:proofErr w:type="spellStart"/>
      <w:r w:rsidRPr="00B01D86">
        <w:rPr>
          <w:color w:val="333333"/>
          <w:sz w:val="28"/>
          <w:szCs w:val="28"/>
          <w:lang w:val="uk-UA"/>
        </w:rPr>
        <w:t>глутаматні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рецептори, поділяються на конкурентні та неконкурентні блокатори. До першої групи належить </w:t>
      </w:r>
      <w:proofErr w:type="spellStart"/>
      <w:r w:rsidRPr="00B01D86">
        <w:rPr>
          <w:color w:val="333333"/>
          <w:sz w:val="28"/>
          <w:szCs w:val="28"/>
          <w:lang w:val="uk-UA"/>
        </w:rPr>
        <w:t>селфотел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до другої — </w:t>
      </w:r>
      <w:proofErr w:type="spellStart"/>
      <w:r w:rsidRPr="00B01D86">
        <w:rPr>
          <w:color w:val="333333"/>
          <w:sz w:val="28"/>
          <w:szCs w:val="28"/>
          <w:lang w:val="uk-UA"/>
        </w:rPr>
        <w:t>мемантин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амантадин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кетамін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магнію сульфат, </w:t>
      </w:r>
      <w:proofErr w:type="spellStart"/>
      <w:r w:rsidRPr="00B01D86">
        <w:rPr>
          <w:color w:val="333333"/>
          <w:sz w:val="28"/>
          <w:szCs w:val="28"/>
          <w:lang w:val="uk-UA"/>
        </w:rPr>
        <w:t>церестат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фенциклідин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. Проте разом із терапевтичним ефектом (обмеження зони некрозу) більшість антагоністів NMDA-рецепторів (такі як </w:t>
      </w:r>
      <w:proofErr w:type="spellStart"/>
      <w:r w:rsidRPr="00B01D86">
        <w:rPr>
          <w:color w:val="333333"/>
          <w:sz w:val="28"/>
          <w:szCs w:val="28"/>
          <w:lang w:val="uk-UA"/>
        </w:rPr>
        <w:t>селфотел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церестат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) викликають грубі побічні ефекти (галюцинації, порушення свідомості, </w:t>
      </w:r>
      <w:proofErr w:type="spellStart"/>
      <w:r w:rsidRPr="00B01D86">
        <w:rPr>
          <w:color w:val="333333"/>
          <w:sz w:val="28"/>
          <w:szCs w:val="28"/>
          <w:lang w:val="uk-UA"/>
        </w:rPr>
        <w:t>гіперкінези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делірій та ін.), що зумовило припинення їх клінічного застосування. Оскільки фізіологічна активність NMDA-рецепторів необхідна для нормального функціонування нервової тканини, клінічний успіх у терапії гострих порушень мозкового кровообігу може бути досягнутий лише за умов застосування антагоністів NMDA-рецепторів, які </w:t>
      </w:r>
      <w:proofErr w:type="spellStart"/>
      <w:r w:rsidRPr="00B01D86">
        <w:rPr>
          <w:color w:val="333333"/>
          <w:sz w:val="28"/>
          <w:szCs w:val="28"/>
          <w:lang w:val="uk-UA"/>
        </w:rPr>
        <w:t>селективно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знижують їх надмірну активацію.</w:t>
      </w:r>
    </w:p>
    <w:p w14:paraId="4F91943E" w14:textId="77777777" w:rsidR="00B01D86" w:rsidRP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lastRenderedPageBreak/>
        <w:t xml:space="preserve">До препаратів вторинної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церебропротекції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належать, перш за все, </w:t>
      </w:r>
      <w:proofErr w:type="spellStart"/>
      <w:r w:rsidRPr="00B01D86">
        <w:rPr>
          <w:color w:val="333333"/>
          <w:sz w:val="28"/>
          <w:szCs w:val="28"/>
          <w:lang w:val="uk-UA"/>
        </w:rPr>
        <w:t>антигіпоксанти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та антиоксиданти (</w:t>
      </w:r>
      <w:proofErr w:type="spellStart"/>
      <w:r w:rsidRPr="00B01D86">
        <w:rPr>
          <w:color w:val="333333"/>
          <w:sz w:val="28"/>
          <w:szCs w:val="28"/>
          <w:lang w:val="uk-UA"/>
        </w:rPr>
        <w:t>гемодериват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із телячої крові </w:t>
      </w:r>
      <w:proofErr w:type="spellStart"/>
      <w:r w:rsidRPr="00B01D86">
        <w:rPr>
          <w:color w:val="333333"/>
          <w:sz w:val="28"/>
          <w:szCs w:val="28"/>
          <w:lang w:val="uk-UA"/>
        </w:rPr>
        <w:t>депротеїнізований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мексидол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емоксипін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цитофлавін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тіотріазолін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), </w:t>
      </w:r>
      <w:proofErr w:type="spellStart"/>
      <w:r w:rsidRPr="00B01D86">
        <w:rPr>
          <w:color w:val="333333"/>
          <w:sz w:val="28"/>
          <w:szCs w:val="28"/>
          <w:lang w:val="uk-UA"/>
        </w:rPr>
        <w:t>мембранопротектори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(</w:t>
      </w:r>
      <w:proofErr w:type="spellStart"/>
      <w:r w:rsidRPr="00B01D86">
        <w:rPr>
          <w:color w:val="333333"/>
          <w:sz w:val="28"/>
          <w:szCs w:val="28"/>
          <w:lang w:val="uk-UA"/>
        </w:rPr>
        <w:t>цитиколін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),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нейропептиди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та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нейротрофічні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фактори (</w:t>
      </w:r>
      <w:proofErr w:type="spellStart"/>
      <w:r w:rsidRPr="00B01D86">
        <w:rPr>
          <w:color w:val="333333"/>
          <w:sz w:val="28"/>
          <w:szCs w:val="28"/>
          <w:lang w:val="uk-UA"/>
        </w:rPr>
        <w:t>кортексин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гептапептид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церебролізин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), </w:t>
      </w:r>
      <w:proofErr w:type="spellStart"/>
      <w:r w:rsidRPr="00B01D86">
        <w:rPr>
          <w:color w:val="333333"/>
          <w:sz w:val="28"/>
          <w:szCs w:val="28"/>
          <w:lang w:val="uk-UA"/>
        </w:rPr>
        <w:t>ноотропи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(</w:t>
      </w:r>
      <w:proofErr w:type="spellStart"/>
      <w:r w:rsidRPr="00B01D86">
        <w:rPr>
          <w:color w:val="333333"/>
          <w:sz w:val="28"/>
          <w:szCs w:val="28"/>
          <w:lang w:val="uk-UA"/>
        </w:rPr>
        <w:t>пірацетам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фенібут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). Перспективним Ц. є </w:t>
      </w:r>
      <w:proofErr w:type="spellStart"/>
      <w:r w:rsidRPr="00B01D86">
        <w:rPr>
          <w:color w:val="333333"/>
          <w:sz w:val="28"/>
          <w:szCs w:val="28"/>
          <w:lang w:val="uk-UA"/>
        </w:rPr>
        <w:t>рекомбінантний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антагоніст рецепторів інтерлейкіну-1.</w:t>
      </w:r>
    </w:p>
    <w:p w14:paraId="0C8D910A" w14:textId="72DC12B0" w:rsid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t xml:space="preserve">Згідно з концепцією патогенезу деструктивних змін нейронів, де велику роль відіграють гіпоксія та </w:t>
      </w:r>
      <w:proofErr w:type="spellStart"/>
      <w:r w:rsidRPr="00B01D86">
        <w:rPr>
          <w:color w:val="333333"/>
          <w:sz w:val="28"/>
          <w:szCs w:val="28"/>
          <w:lang w:val="uk-UA"/>
        </w:rPr>
        <w:t>оксидативний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стрес, у терапії при гострій церебральній ішемії широке застосування знайшли </w:t>
      </w:r>
      <w:proofErr w:type="spellStart"/>
      <w:r w:rsidRPr="00B01D86">
        <w:rPr>
          <w:color w:val="333333"/>
          <w:sz w:val="28"/>
          <w:szCs w:val="28"/>
          <w:lang w:val="uk-UA"/>
        </w:rPr>
        <w:t>антигіпоксанти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та антиоксиданти (</w:t>
      </w:r>
      <w:proofErr w:type="spellStart"/>
      <w:r w:rsidRPr="00B01D86">
        <w:rPr>
          <w:color w:val="333333"/>
          <w:sz w:val="28"/>
          <w:szCs w:val="28"/>
          <w:lang w:val="uk-UA"/>
        </w:rPr>
        <w:t>скавенджери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). Їх захисний вплив на </w:t>
      </w:r>
      <w:proofErr w:type="spellStart"/>
      <w:r w:rsidRPr="00B01D86">
        <w:rPr>
          <w:color w:val="333333"/>
          <w:sz w:val="28"/>
          <w:szCs w:val="28"/>
          <w:lang w:val="uk-UA"/>
        </w:rPr>
        <w:t>ішемізовані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нейрони реалізується за рахунок </w:t>
      </w:r>
      <w:proofErr w:type="spellStart"/>
      <w:r w:rsidRPr="00B01D86">
        <w:rPr>
          <w:color w:val="333333"/>
          <w:sz w:val="28"/>
          <w:szCs w:val="28"/>
          <w:lang w:val="uk-UA"/>
        </w:rPr>
        <w:t>інгібування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продукції вільних радикалів, </w:t>
      </w:r>
      <w:proofErr w:type="spellStart"/>
      <w:r w:rsidRPr="00B01D86">
        <w:rPr>
          <w:color w:val="333333"/>
          <w:sz w:val="28"/>
          <w:szCs w:val="28"/>
          <w:lang w:val="uk-UA"/>
        </w:rPr>
        <w:t>пероксидного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окиснення ліпідів та окисної модифікації білків, відновлення активності антиоксидантної системи. Типовим представником вторинних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proofErr w:type="spellEnd"/>
      <w:r w:rsidR="00DF04D4" w:rsidRPr="00B01D86">
        <w:rPr>
          <w:color w:val="333333"/>
          <w:sz w:val="28"/>
          <w:szCs w:val="28"/>
          <w:lang w:val="uk-UA"/>
        </w:rPr>
        <w:t xml:space="preserve"> </w:t>
      </w:r>
      <w:r w:rsidRPr="00B01D86">
        <w:rPr>
          <w:color w:val="333333"/>
          <w:sz w:val="28"/>
          <w:szCs w:val="28"/>
          <w:lang w:val="uk-UA"/>
        </w:rPr>
        <w:t xml:space="preserve">із переважно </w:t>
      </w:r>
      <w:proofErr w:type="spellStart"/>
      <w:r w:rsidRPr="00B01D86">
        <w:rPr>
          <w:color w:val="333333"/>
          <w:sz w:val="28"/>
          <w:szCs w:val="28"/>
          <w:lang w:val="uk-UA"/>
        </w:rPr>
        <w:t>мембранопротекторними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властивостями є </w:t>
      </w:r>
      <w:proofErr w:type="spellStart"/>
      <w:r w:rsidRPr="00B01D86">
        <w:rPr>
          <w:color w:val="333333"/>
          <w:sz w:val="28"/>
          <w:szCs w:val="28"/>
          <w:lang w:val="uk-UA"/>
        </w:rPr>
        <w:t>цитиколін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який є попередником </w:t>
      </w:r>
      <w:proofErr w:type="spellStart"/>
      <w:r w:rsidRPr="00B01D86">
        <w:rPr>
          <w:color w:val="333333"/>
          <w:sz w:val="28"/>
          <w:szCs w:val="28"/>
          <w:lang w:val="uk-UA"/>
        </w:rPr>
        <w:t>фосфатидилхоліну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та структурним компонентом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нейрональних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мембран. </w:t>
      </w:r>
      <w:proofErr w:type="spellStart"/>
      <w:r w:rsidRPr="00B01D86">
        <w:rPr>
          <w:color w:val="333333"/>
          <w:sz w:val="28"/>
          <w:szCs w:val="28"/>
          <w:lang w:val="uk-UA"/>
        </w:rPr>
        <w:t>Цитиколін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знижує в </w:t>
      </w:r>
      <w:proofErr w:type="spellStart"/>
      <w:r w:rsidRPr="00B01D86">
        <w:rPr>
          <w:color w:val="333333"/>
          <w:sz w:val="28"/>
          <w:szCs w:val="28"/>
          <w:lang w:val="uk-UA"/>
        </w:rPr>
        <w:t>ішемізованій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ділянці мозку рівень арахідонової кислоти, експресію </w:t>
      </w:r>
      <w:proofErr w:type="spellStart"/>
      <w:r w:rsidRPr="00B01D86">
        <w:rPr>
          <w:color w:val="333333"/>
          <w:sz w:val="28"/>
          <w:szCs w:val="28"/>
          <w:lang w:val="uk-UA"/>
        </w:rPr>
        <w:t>проапоптотичних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генів, контролює функціонування </w:t>
      </w:r>
      <w:proofErr w:type="spellStart"/>
      <w:r w:rsidRPr="00B01D86">
        <w:rPr>
          <w:color w:val="333333"/>
          <w:sz w:val="28"/>
          <w:szCs w:val="28"/>
          <w:lang w:val="uk-UA"/>
        </w:rPr>
        <w:t>Nа</w:t>
      </w:r>
      <w:proofErr w:type="spellEnd"/>
      <w:r w:rsidRPr="00B01D86">
        <w:rPr>
          <w:color w:val="333333"/>
          <w:sz w:val="28"/>
          <w:szCs w:val="28"/>
          <w:vertAlign w:val="superscript"/>
          <w:lang w:val="uk-UA"/>
        </w:rPr>
        <w:t>+</w:t>
      </w:r>
      <w:r w:rsidRPr="00B01D86">
        <w:rPr>
          <w:color w:val="333333"/>
          <w:sz w:val="28"/>
          <w:szCs w:val="28"/>
          <w:lang w:val="uk-UA"/>
        </w:rPr>
        <w:t>-, К</w:t>
      </w:r>
      <w:r w:rsidRPr="00B01D86">
        <w:rPr>
          <w:color w:val="333333"/>
          <w:sz w:val="28"/>
          <w:szCs w:val="28"/>
          <w:vertAlign w:val="superscript"/>
          <w:lang w:val="uk-UA"/>
        </w:rPr>
        <w:t>+</w:t>
      </w:r>
      <w:r w:rsidRPr="00B01D86">
        <w:rPr>
          <w:color w:val="333333"/>
          <w:sz w:val="28"/>
          <w:szCs w:val="28"/>
          <w:lang w:val="uk-UA"/>
        </w:rPr>
        <w:t>-</w:t>
      </w:r>
      <w:proofErr w:type="spellStart"/>
      <w:r w:rsidRPr="00B01D86">
        <w:rPr>
          <w:color w:val="333333"/>
          <w:sz w:val="28"/>
          <w:szCs w:val="28"/>
          <w:lang w:val="uk-UA"/>
        </w:rPr>
        <w:t>АТФази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що дозволяє зменшити набряк та вогнище ішемічного ушкодження, стимулює синтез структурних фосфоліпідів мембран нейронів. Завдяки цим властивостям </w:t>
      </w:r>
      <w:proofErr w:type="spellStart"/>
      <w:r w:rsidRPr="00B01D86">
        <w:rPr>
          <w:color w:val="333333"/>
          <w:sz w:val="28"/>
          <w:szCs w:val="28"/>
          <w:lang w:val="uk-UA"/>
        </w:rPr>
        <w:t>цитиколін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поліпшує функціонування мембранних структур — іонних насосів та рецепторів, без яких неможливе проведення нервових імпульсів. </w:t>
      </w:r>
      <w:proofErr w:type="spellStart"/>
      <w:r w:rsidRPr="00B01D86">
        <w:rPr>
          <w:color w:val="333333"/>
          <w:sz w:val="28"/>
          <w:szCs w:val="28"/>
          <w:lang w:val="uk-UA"/>
        </w:rPr>
        <w:t>Цитиколін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також посилює </w:t>
      </w:r>
      <w:proofErr w:type="spellStart"/>
      <w:r w:rsidRPr="00B01D86">
        <w:rPr>
          <w:color w:val="333333"/>
          <w:sz w:val="28"/>
          <w:szCs w:val="28"/>
          <w:lang w:val="uk-UA"/>
        </w:rPr>
        <w:t>холінергічну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передачу в ЦНС. Зважаючи на провідну роль недостатнього трофічного забезпечення в механізмах ушкодження нервової тканини, репаративна терапія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нейропептидними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proofErr w:type="spellEnd"/>
      <w:r w:rsidR="00DF04D4" w:rsidRPr="00B01D86">
        <w:rPr>
          <w:color w:val="333333"/>
          <w:sz w:val="28"/>
          <w:szCs w:val="28"/>
          <w:lang w:val="uk-UA"/>
        </w:rPr>
        <w:t xml:space="preserve"> </w:t>
      </w:r>
      <w:r w:rsidRPr="00B01D86">
        <w:rPr>
          <w:color w:val="333333"/>
          <w:sz w:val="28"/>
          <w:szCs w:val="28"/>
          <w:lang w:val="uk-UA"/>
        </w:rPr>
        <w:t xml:space="preserve">в умовах порушень мозкового кровообігу набуває важливого значення вже починаючи з перших діб ішемії. </w:t>
      </w:r>
      <w:r>
        <w:rPr>
          <w:color w:val="333333"/>
          <w:sz w:val="28"/>
          <w:szCs w:val="28"/>
          <w:lang w:val="uk-UA"/>
        </w:rPr>
        <w:tab/>
      </w:r>
    </w:p>
    <w:p w14:paraId="1B66882C" w14:textId="088E818D" w:rsid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proofErr w:type="spellStart"/>
      <w:r w:rsidRPr="00B01D86">
        <w:rPr>
          <w:color w:val="333333"/>
          <w:sz w:val="28"/>
          <w:szCs w:val="28"/>
          <w:lang w:val="uk-UA"/>
        </w:rPr>
        <w:t>Нейропептиди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є основними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які застосовують для лікування при хронічній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цереброваскулярній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недостатності та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нейродеструктивних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захворюваннях різного генезу (енцефалопатія, хвороба Альцгеймера тощо). </w:t>
      </w:r>
      <w:r w:rsidRPr="00B01D86">
        <w:rPr>
          <w:color w:val="333333"/>
          <w:sz w:val="28"/>
          <w:szCs w:val="28"/>
          <w:lang w:val="uk-UA"/>
        </w:rPr>
        <w:lastRenderedPageBreak/>
        <w:t xml:space="preserve">Характерними рисами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нейропептидів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є висока ефективність у низьких дозах, швидкість настання ефекту. Їх застосування дозволяє створити сприятливий фон для ефективнішого комплексного лікування при дегенеративних захворюваннях ЦНС. </w:t>
      </w:r>
      <w:proofErr w:type="spellStart"/>
      <w:r w:rsidRPr="00B01D86">
        <w:rPr>
          <w:color w:val="333333"/>
          <w:sz w:val="28"/>
          <w:szCs w:val="28"/>
          <w:lang w:val="uk-UA"/>
        </w:rPr>
        <w:t>Нейропептидні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proofErr w:type="spellEnd"/>
      <w:r w:rsidR="00DF04D4" w:rsidRPr="00B01D86">
        <w:rPr>
          <w:color w:val="333333"/>
          <w:sz w:val="28"/>
          <w:szCs w:val="28"/>
          <w:lang w:val="uk-UA"/>
        </w:rPr>
        <w:t xml:space="preserve"> </w:t>
      </w:r>
      <w:r w:rsidRPr="00B01D86">
        <w:rPr>
          <w:color w:val="333333"/>
          <w:sz w:val="28"/>
          <w:szCs w:val="28"/>
          <w:lang w:val="uk-UA"/>
        </w:rPr>
        <w:t>(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церебролізин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кортексин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гептапептид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комплекс ембріональних пептидів та </w:t>
      </w:r>
      <w:proofErr w:type="spellStart"/>
      <w:r w:rsidRPr="00B01D86">
        <w:rPr>
          <w:color w:val="333333"/>
          <w:sz w:val="28"/>
          <w:szCs w:val="28"/>
          <w:lang w:val="uk-UA"/>
        </w:rPr>
        <w:t>олігопептидів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та ін.) широко застосовують у хворих із церебральною недостатністю. </w:t>
      </w:r>
    </w:p>
    <w:p w14:paraId="1EF0E538" w14:textId="08A90E28" w:rsidR="00B01D86" w:rsidRP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t xml:space="preserve">Представниками вторинних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є </w:t>
      </w:r>
      <w:proofErr w:type="spellStart"/>
      <w:r w:rsidRPr="00B01D86">
        <w:rPr>
          <w:color w:val="333333"/>
          <w:sz w:val="28"/>
          <w:szCs w:val="28"/>
          <w:lang w:val="uk-UA"/>
        </w:rPr>
        <w:t>ноотропні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препарати, які виявляють пряму активуючу дію на навчання, пам’ять і розумову діяльність. Порушення </w:t>
      </w:r>
      <w:proofErr w:type="spellStart"/>
      <w:r w:rsidRPr="00B01D86">
        <w:rPr>
          <w:color w:val="333333"/>
          <w:sz w:val="28"/>
          <w:szCs w:val="28"/>
          <w:lang w:val="uk-UA"/>
        </w:rPr>
        <w:t>когнітивно-мнестичних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функцій є прямим наслідком гострої мозкової ішемії та закономірним фіналом при формуванні хронічної церебральної недостатності, а препарати цієї групи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proofErr w:type="spellEnd"/>
      <w:r w:rsidR="00DF04D4" w:rsidRPr="00B01D86">
        <w:rPr>
          <w:color w:val="333333"/>
          <w:sz w:val="28"/>
          <w:szCs w:val="28"/>
          <w:lang w:val="uk-UA"/>
        </w:rPr>
        <w:t xml:space="preserve"> </w:t>
      </w:r>
      <w:r w:rsidRPr="00B01D86">
        <w:rPr>
          <w:color w:val="333333"/>
          <w:sz w:val="28"/>
          <w:szCs w:val="28"/>
          <w:lang w:val="uk-UA"/>
        </w:rPr>
        <w:t xml:space="preserve">широко використовують при судинній деменції, хворобі Альцгеймера, розладах інтелектуальної діяльності різного генезу у дітей. Однозначної думки стосовно доцільності призначення </w:t>
      </w:r>
      <w:proofErr w:type="spellStart"/>
      <w:r w:rsidRPr="00B01D86">
        <w:rPr>
          <w:color w:val="333333"/>
          <w:sz w:val="28"/>
          <w:szCs w:val="28"/>
          <w:lang w:val="uk-UA"/>
        </w:rPr>
        <w:t>ноотропів</w:t>
      </w:r>
      <w:proofErr w:type="spellEnd"/>
      <w:r w:rsidRPr="00B01D86">
        <w:rPr>
          <w:color w:val="333333"/>
          <w:sz w:val="28"/>
          <w:szCs w:val="28"/>
          <w:lang w:val="uk-UA"/>
        </w:rPr>
        <w:t>, напр</w:t>
      </w:r>
      <w:r w:rsidR="00DF04D4">
        <w:rPr>
          <w:color w:val="333333"/>
          <w:sz w:val="28"/>
          <w:szCs w:val="28"/>
          <w:lang w:val="uk-UA"/>
        </w:rPr>
        <w:t>иклад,</w:t>
      </w:r>
      <w:r w:rsidRPr="00B01D86">
        <w:rPr>
          <w:color w:val="333333"/>
          <w:sz w:val="28"/>
          <w:szCs w:val="28"/>
          <w:lang w:val="uk-UA"/>
        </w:rPr>
        <w:t xml:space="preserve"> </w:t>
      </w:r>
      <w:proofErr w:type="spellStart"/>
      <w:r w:rsidRPr="00B01D86">
        <w:rPr>
          <w:color w:val="333333"/>
          <w:sz w:val="28"/>
          <w:szCs w:val="28"/>
          <w:lang w:val="uk-UA"/>
        </w:rPr>
        <w:t>пірацетаму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в гострий період інсульту та черепно-мозкової травми, що супроводжується втратою свідомості, не існує. Коматозний стан незалежно від глибини церебральної недостатності є протипоказанням до призначення </w:t>
      </w:r>
      <w:proofErr w:type="spellStart"/>
      <w:r w:rsidRPr="00B01D86">
        <w:rPr>
          <w:color w:val="333333"/>
          <w:sz w:val="28"/>
          <w:szCs w:val="28"/>
          <w:lang w:val="uk-UA"/>
        </w:rPr>
        <w:t>ноотропів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оскільки вони за рахунок </w:t>
      </w:r>
      <w:proofErr w:type="spellStart"/>
      <w:r w:rsidRPr="00B01D86">
        <w:rPr>
          <w:color w:val="333333"/>
          <w:sz w:val="28"/>
          <w:szCs w:val="28"/>
          <w:lang w:val="uk-UA"/>
        </w:rPr>
        <w:t>стимулювальної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дії розгальмовують підкоркові структури, викликають психомоторне збудження чи судоми, ще більше пригнічуючи кору.</w:t>
      </w:r>
    </w:p>
    <w:p w14:paraId="1A964EE4" w14:textId="4D8F68E2" w:rsidR="00B01D86" w:rsidRP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bookmarkStart w:id="3" w:name="_Hlk187409713"/>
      <w:r w:rsidRPr="00B01D86">
        <w:rPr>
          <w:color w:val="333333"/>
          <w:sz w:val="28"/>
          <w:szCs w:val="28"/>
          <w:lang w:val="uk-UA"/>
        </w:rPr>
        <w:t xml:space="preserve">При хворобі Альцгеймера </w:t>
      </w:r>
      <w:proofErr w:type="spellStart"/>
      <w:r w:rsidRPr="00B01D86">
        <w:rPr>
          <w:color w:val="333333"/>
          <w:sz w:val="28"/>
          <w:szCs w:val="28"/>
          <w:lang w:val="uk-UA"/>
        </w:rPr>
        <w:t>церебропротекторний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вплив чинять </w:t>
      </w:r>
      <w:proofErr w:type="spellStart"/>
      <w:r w:rsidRPr="00B01D86">
        <w:rPr>
          <w:color w:val="333333"/>
          <w:sz w:val="28"/>
          <w:szCs w:val="28"/>
          <w:lang w:val="uk-UA"/>
        </w:rPr>
        <w:t>антихолінестеразні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препарати (</w:t>
      </w:r>
      <w:proofErr w:type="spellStart"/>
      <w:r w:rsidRPr="00B01D86">
        <w:rPr>
          <w:color w:val="333333"/>
          <w:sz w:val="28"/>
          <w:szCs w:val="28"/>
          <w:lang w:val="uk-UA"/>
        </w:rPr>
        <w:t>галантамін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донепезил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</w:t>
      </w:r>
      <w:proofErr w:type="spellStart"/>
      <w:r w:rsidRPr="00B01D86">
        <w:rPr>
          <w:color w:val="333333"/>
          <w:sz w:val="28"/>
          <w:szCs w:val="28"/>
          <w:lang w:val="uk-UA"/>
        </w:rPr>
        <w:t>ривастигмін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), які посилюють </w:t>
      </w:r>
      <w:proofErr w:type="spellStart"/>
      <w:r w:rsidRPr="00B01D86">
        <w:rPr>
          <w:color w:val="333333"/>
          <w:sz w:val="28"/>
          <w:szCs w:val="28"/>
          <w:lang w:val="uk-UA"/>
        </w:rPr>
        <w:t>холінергічну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передачу, та вже згаданий антагоніст NMDA-рецепторів </w:t>
      </w:r>
      <w:proofErr w:type="spellStart"/>
      <w:r w:rsidRPr="00B01D86">
        <w:rPr>
          <w:color w:val="333333"/>
          <w:sz w:val="28"/>
          <w:szCs w:val="28"/>
          <w:lang w:val="uk-UA"/>
        </w:rPr>
        <w:t>мемантин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, який ослаблює </w:t>
      </w:r>
      <w:proofErr w:type="spellStart"/>
      <w:r w:rsidRPr="00B01D86">
        <w:rPr>
          <w:color w:val="333333"/>
          <w:sz w:val="28"/>
          <w:szCs w:val="28"/>
          <w:lang w:val="uk-UA"/>
        </w:rPr>
        <w:t>глутаматну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</w:t>
      </w:r>
      <w:proofErr w:type="spellStart"/>
      <w:r w:rsidRPr="00B01D86">
        <w:rPr>
          <w:color w:val="333333"/>
          <w:sz w:val="28"/>
          <w:szCs w:val="28"/>
          <w:lang w:val="uk-UA"/>
        </w:rPr>
        <w:t>ексайтотоксичність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. Останній препарат є ефективним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proofErr w:type="spellEnd"/>
      <w:r w:rsidR="00DF04D4" w:rsidRPr="00B01D86">
        <w:rPr>
          <w:color w:val="333333"/>
          <w:sz w:val="28"/>
          <w:szCs w:val="28"/>
          <w:lang w:val="uk-UA"/>
        </w:rPr>
        <w:t xml:space="preserve"> </w:t>
      </w:r>
      <w:r w:rsidRPr="00B01D86">
        <w:rPr>
          <w:color w:val="333333"/>
          <w:sz w:val="28"/>
          <w:szCs w:val="28"/>
          <w:lang w:val="uk-UA"/>
        </w:rPr>
        <w:t>також при паркінсонізмі.</w:t>
      </w:r>
    </w:p>
    <w:p w14:paraId="135D477D" w14:textId="20AC4122" w:rsidR="00B01D86" w:rsidRPr="00B01D86" w:rsidRDefault="00B01D86" w:rsidP="00B01D86">
      <w:pPr>
        <w:pStyle w:val="a4"/>
        <w:spacing w:before="0" w:beforeAutospacing="0" w:after="0" w:afterAutospacing="0" w:line="360" w:lineRule="auto"/>
        <w:ind w:firstLine="720"/>
        <w:jc w:val="both"/>
        <w:textAlignment w:val="baseline"/>
        <w:rPr>
          <w:color w:val="333333"/>
          <w:sz w:val="28"/>
          <w:szCs w:val="28"/>
          <w:lang w:val="uk-UA"/>
        </w:rPr>
      </w:pPr>
      <w:r w:rsidRPr="00B01D86">
        <w:rPr>
          <w:color w:val="333333"/>
          <w:sz w:val="28"/>
          <w:szCs w:val="28"/>
          <w:lang w:val="uk-UA"/>
        </w:rPr>
        <w:t xml:space="preserve">Ідеального препарату, який виявляв би однаковою мірою потужні властивості первинного та вторинного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proofErr w:type="spellEnd"/>
      <w:r w:rsidRPr="00B01D86">
        <w:rPr>
          <w:color w:val="333333"/>
          <w:sz w:val="28"/>
          <w:szCs w:val="28"/>
          <w:lang w:val="uk-UA"/>
        </w:rPr>
        <w:t xml:space="preserve"> з доведеною високою ефективністю в умовах гострої ішемії та хронічної церебральної недостатності з мінімальними побічними ефектами, на сьогодні не існує. Перспективним напрямком у </w:t>
      </w:r>
      <w:r w:rsidRPr="00B01D86">
        <w:rPr>
          <w:color w:val="333333"/>
          <w:sz w:val="28"/>
          <w:szCs w:val="28"/>
          <w:lang w:val="uk-UA"/>
        </w:rPr>
        <w:lastRenderedPageBreak/>
        <w:t xml:space="preserve">розробленні нових </w:t>
      </w:r>
      <w:proofErr w:type="spellStart"/>
      <w:r w:rsidR="00DF04D4">
        <w:rPr>
          <w:color w:val="333333"/>
          <w:sz w:val="28"/>
          <w:szCs w:val="28"/>
          <w:lang w:val="uk-UA"/>
        </w:rPr>
        <w:t>церебропотектори</w:t>
      </w:r>
      <w:proofErr w:type="spellEnd"/>
      <w:r w:rsidR="00DF04D4" w:rsidRPr="00B01D86">
        <w:rPr>
          <w:color w:val="333333"/>
          <w:sz w:val="28"/>
          <w:szCs w:val="28"/>
          <w:lang w:val="uk-UA"/>
        </w:rPr>
        <w:t xml:space="preserve"> </w:t>
      </w:r>
      <w:r w:rsidRPr="00B01D86">
        <w:rPr>
          <w:color w:val="333333"/>
          <w:sz w:val="28"/>
          <w:szCs w:val="28"/>
          <w:lang w:val="uk-UA"/>
        </w:rPr>
        <w:t xml:space="preserve">є створення </w:t>
      </w:r>
      <w:r w:rsidR="00DF04D4">
        <w:rPr>
          <w:color w:val="333333"/>
          <w:sz w:val="28"/>
          <w:szCs w:val="28"/>
          <w:lang w:val="uk-UA"/>
        </w:rPr>
        <w:t>лікарських засобів</w:t>
      </w:r>
      <w:r w:rsidRPr="00B01D86">
        <w:rPr>
          <w:color w:val="333333"/>
          <w:sz w:val="28"/>
          <w:szCs w:val="28"/>
          <w:lang w:val="uk-UA"/>
        </w:rPr>
        <w:t xml:space="preserve"> з політропними фармакологічними ефектами.</w:t>
      </w:r>
    </w:p>
    <w:bookmarkEnd w:id="3"/>
    <w:p w14:paraId="7C1D36E1" w14:textId="77777777" w:rsidR="00B01D86" w:rsidRPr="00B01D86" w:rsidRDefault="00B01D86" w:rsidP="00B01D86">
      <w:pPr>
        <w:pStyle w:val="a4"/>
        <w:spacing w:before="0" w:beforeAutospacing="0" w:after="0" w:afterAutospacing="0" w:line="360" w:lineRule="auto"/>
        <w:jc w:val="both"/>
        <w:textAlignment w:val="baseline"/>
        <w:rPr>
          <w:color w:val="333333"/>
          <w:sz w:val="28"/>
          <w:szCs w:val="28"/>
          <w:lang w:val="uk-UA"/>
        </w:rPr>
      </w:pPr>
    </w:p>
    <w:p w14:paraId="364F2540" w14:textId="1D999B1E" w:rsidR="00B01D86" w:rsidRPr="00B01D86" w:rsidRDefault="00B01D86" w:rsidP="00B01D86">
      <w:pPr>
        <w:pStyle w:val="a4"/>
        <w:spacing w:before="0" w:beforeAutospacing="0" w:after="0" w:afterAutospacing="0" w:line="360" w:lineRule="auto"/>
        <w:jc w:val="center"/>
        <w:textAlignment w:val="baseline"/>
        <w:rPr>
          <w:b/>
          <w:bCs/>
          <w:color w:val="333333"/>
          <w:sz w:val="28"/>
          <w:szCs w:val="28"/>
          <w:lang w:val="uk-UA"/>
        </w:rPr>
      </w:pPr>
      <w:r w:rsidRPr="00B01D86">
        <w:rPr>
          <w:b/>
          <w:bCs/>
          <w:color w:val="333333"/>
          <w:sz w:val="28"/>
          <w:szCs w:val="28"/>
          <w:lang w:val="uk-UA"/>
        </w:rPr>
        <w:t>Джерела літератури</w:t>
      </w:r>
    </w:p>
    <w:p w14:paraId="6E39750F" w14:textId="77777777" w:rsidR="004676FA" w:rsidRPr="00B01D86" w:rsidRDefault="004676FA" w:rsidP="00B01D86">
      <w:pPr>
        <w:spacing w:line="360" w:lineRule="auto"/>
        <w:jc w:val="both"/>
        <w:rPr>
          <w:sz w:val="28"/>
          <w:szCs w:val="28"/>
          <w:lang w:val="uk-UA"/>
        </w:rPr>
      </w:pPr>
    </w:p>
    <w:p w14:paraId="0C9B4A80" w14:textId="3090E488" w:rsidR="00230ED8" w:rsidRPr="00C54B18" w:rsidRDefault="00230ED8" w:rsidP="00230ED8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  <w:lang w:val="uk-UA"/>
        </w:rPr>
      </w:pPr>
      <w:r w:rsidRPr="00C54B18">
        <w:rPr>
          <w:sz w:val="28"/>
          <w:szCs w:val="28"/>
          <w:lang w:val="uk-UA"/>
        </w:rPr>
        <w:t xml:space="preserve">Клінічна фармакологія: Підручник для мед. ВНЗ IV рівня акредитації. – 2-ге вид. </w:t>
      </w:r>
      <w:proofErr w:type="spellStart"/>
      <w:r w:rsidRPr="00C54B18">
        <w:rPr>
          <w:sz w:val="28"/>
          <w:szCs w:val="28"/>
          <w:lang w:val="uk-UA"/>
        </w:rPr>
        <w:t>переробл</w:t>
      </w:r>
      <w:proofErr w:type="spellEnd"/>
      <w:r w:rsidRPr="00C54B18">
        <w:rPr>
          <w:sz w:val="28"/>
          <w:szCs w:val="28"/>
          <w:lang w:val="uk-UA"/>
        </w:rPr>
        <w:t xml:space="preserve">. і </w:t>
      </w:r>
      <w:proofErr w:type="spellStart"/>
      <w:r w:rsidRPr="00C54B18">
        <w:rPr>
          <w:sz w:val="28"/>
          <w:szCs w:val="28"/>
          <w:lang w:val="uk-UA"/>
        </w:rPr>
        <w:t>доп</w:t>
      </w:r>
      <w:proofErr w:type="spellEnd"/>
      <w:r w:rsidRPr="00C54B18">
        <w:rPr>
          <w:sz w:val="28"/>
          <w:szCs w:val="28"/>
          <w:lang w:val="uk-UA"/>
        </w:rPr>
        <w:t xml:space="preserve">. / За ред. </w:t>
      </w:r>
      <w:proofErr w:type="spellStart"/>
      <w:r w:rsidRPr="00C54B18">
        <w:rPr>
          <w:sz w:val="28"/>
          <w:szCs w:val="28"/>
          <w:lang w:val="uk-UA"/>
        </w:rPr>
        <w:t>О.Я.Бабака</w:t>
      </w:r>
      <w:proofErr w:type="spellEnd"/>
      <w:r w:rsidRPr="00C54B18">
        <w:rPr>
          <w:sz w:val="28"/>
          <w:szCs w:val="28"/>
          <w:lang w:val="uk-UA"/>
        </w:rPr>
        <w:t xml:space="preserve">, </w:t>
      </w:r>
      <w:proofErr w:type="spellStart"/>
      <w:r w:rsidRPr="00C54B18">
        <w:rPr>
          <w:sz w:val="28"/>
          <w:szCs w:val="28"/>
          <w:lang w:val="uk-UA"/>
        </w:rPr>
        <w:t>О.М.Біловола</w:t>
      </w:r>
      <w:proofErr w:type="spellEnd"/>
      <w:r w:rsidRPr="00C54B18">
        <w:rPr>
          <w:sz w:val="28"/>
          <w:szCs w:val="28"/>
          <w:lang w:val="uk-UA"/>
        </w:rPr>
        <w:t>. К., 2010. 776 с.</w:t>
      </w:r>
    </w:p>
    <w:p w14:paraId="3C85CFD1" w14:textId="72BA1909" w:rsidR="00230ED8" w:rsidRPr="00C54B18" w:rsidRDefault="00230ED8" w:rsidP="00230ED8">
      <w:pPr>
        <w:numPr>
          <w:ilvl w:val="0"/>
          <w:numId w:val="3"/>
        </w:numPr>
        <w:spacing w:line="360" w:lineRule="auto"/>
        <w:jc w:val="both"/>
        <w:rPr>
          <w:sz w:val="28"/>
          <w:szCs w:val="28"/>
          <w:lang w:val="uk-UA"/>
        </w:rPr>
      </w:pPr>
      <w:r w:rsidRPr="00C54B18">
        <w:rPr>
          <w:sz w:val="28"/>
          <w:szCs w:val="28"/>
          <w:lang w:val="uk-UA"/>
        </w:rPr>
        <w:t xml:space="preserve">Клінічна фармакологія / За ред. проф. </w:t>
      </w:r>
      <w:proofErr w:type="spellStart"/>
      <w:r w:rsidRPr="00C54B18">
        <w:rPr>
          <w:sz w:val="28"/>
          <w:szCs w:val="28"/>
          <w:lang w:val="uk-UA"/>
        </w:rPr>
        <w:t>М.І.Яблучанського</w:t>
      </w:r>
      <w:proofErr w:type="spellEnd"/>
      <w:r w:rsidRPr="00C54B18">
        <w:rPr>
          <w:sz w:val="28"/>
          <w:szCs w:val="28"/>
          <w:lang w:val="uk-UA"/>
        </w:rPr>
        <w:t xml:space="preserve">, проф. </w:t>
      </w:r>
      <w:proofErr w:type="spellStart"/>
      <w:r w:rsidRPr="00C54B18">
        <w:rPr>
          <w:sz w:val="28"/>
          <w:szCs w:val="28"/>
          <w:lang w:val="uk-UA"/>
        </w:rPr>
        <w:t>В.М.Савченко</w:t>
      </w:r>
      <w:proofErr w:type="spellEnd"/>
      <w:r w:rsidRPr="00C54B18">
        <w:rPr>
          <w:sz w:val="28"/>
          <w:szCs w:val="28"/>
          <w:lang w:val="uk-UA"/>
        </w:rPr>
        <w:t>. Харків, 2011. 406 с.</w:t>
      </w:r>
    </w:p>
    <w:p w14:paraId="74824B0E" w14:textId="1B0E44F5" w:rsidR="00230ED8" w:rsidRPr="00C54B18" w:rsidRDefault="00230ED8" w:rsidP="00230ED8">
      <w:pPr>
        <w:numPr>
          <w:ilvl w:val="0"/>
          <w:numId w:val="3"/>
        </w:numPr>
        <w:suppressAutoHyphens/>
        <w:spacing w:line="360" w:lineRule="auto"/>
        <w:jc w:val="both"/>
        <w:rPr>
          <w:sz w:val="28"/>
          <w:szCs w:val="28"/>
          <w:lang w:val="uk-UA"/>
        </w:rPr>
      </w:pPr>
      <w:r w:rsidRPr="00C54B18">
        <w:rPr>
          <w:sz w:val="28"/>
          <w:szCs w:val="28"/>
          <w:lang w:val="uk-UA"/>
        </w:rPr>
        <w:t xml:space="preserve">Клінічна фармакологія: посібник / </w:t>
      </w:r>
      <w:proofErr w:type="spellStart"/>
      <w:r w:rsidRPr="00C54B18">
        <w:rPr>
          <w:sz w:val="28"/>
          <w:szCs w:val="28"/>
          <w:lang w:val="uk-UA"/>
        </w:rPr>
        <w:t>Шоріков</w:t>
      </w:r>
      <w:proofErr w:type="spellEnd"/>
      <w:r w:rsidRPr="00C54B18">
        <w:rPr>
          <w:sz w:val="28"/>
          <w:szCs w:val="28"/>
          <w:lang w:val="uk-UA"/>
        </w:rPr>
        <w:t xml:space="preserve"> Є.І., Шумко Г.І., </w:t>
      </w:r>
      <w:proofErr w:type="spellStart"/>
      <w:r w:rsidRPr="00C54B18">
        <w:rPr>
          <w:sz w:val="28"/>
          <w:szCs w:val="28"/>
          <w:lang w:val="uk-UA"/>
        </w:rPr>
        <w:t>Хухліна</w:t>
      </w:r>
      <w:proofErr w:type="spellEnd"/>
      <w:r w:rsidRPr="00C54B18">
        <w:rPr>
          <w:sz w:val="28"/>
          <w:szCs w:val="28"/>
          <w:lang w:val="uk-UA"/>
        </w:rPr>
        <w:t xml:space="preserve"> О.С. та ін. – Вінниця: Нова Книга, 2019. 512 с.</w:t>
      </w:r>
    </w:p>
    <w:p w14:paraId="458658E3" w14:textId="3BCEB8EA" w:rsidR="00230ED8" w:rsidRPr="00C54B18" w:rsidRDefault="00230ED8" w:rsidP="00230ED8">
      <w:pPr>
        <w:numPr>
          <w:ilvl w:val="0"/>
          <w:numId w:val="3"/>
        </w:numPr>
        <w:suppressAutoHyphens/>
        <w:spacing w:line="360" w:lineRule="auto"/>
        <w:jc w:val="both"/>
        <w:rPr>
          <w:sz w:val="28"/>
          <w:szCs w:val="28"/>
          <w:lang w:val="uk-UA"/>
        </w:rPr>
      </w:pPr>
      <w:r w:rsidRPr="00C54B18">
        <w:rPr>
          <w:sz w:val="28"/>
          <w:szCs w:val="28"/>
          <w:lang w:val="uk-UA"/>
        </w:rPr>
        <w:t xml:space="preserve">Клінічна фармакологія: </w:t>
      </w:r>
      <w:proofErr w:type="spellStart"/>
      <w:r w:rsidRPr="00C54B18">
        <w:rPr>
          <w:sz w:val="28"/>
          <w:szCs w:val="28"/>
          <w:lang w:val="uk-UA"/>
        </w:rPr>
        <w:t>навч</w:t>
      </w:r>
      <w:proofErr w:type="spellEnd"/>
      <w:r w:rsidRPr="00C54B18">
        <w:rPr>
          <w:sz w:val="28"/>
          <w:szCs w:val="28"/>
          <w:lang w:val="uk-UA"/>
        </w:rPr>
        <w:t xml:space="preserve">. посібник / </w:t>
      </w:r>
      <w:proofErr w:type="spellStart"/>
      <w:r w:rsidRPr="00C54B18">
        <w:rPr>
          <w:sz w:val="28"/>
          <w:szCs w:val="28"/>
          <w:lang w:val="uk-UA"/>
        </w:rPr>
        <w:t>Самура</w:t>
      </w:r>
      <w:proofErr w:type="spellEnd"/>
      <w:r w:rsidRPr="00C54B18">
        <w:rPr>
          <w:sz w:val="28"/>
          <w:szCs w:val="28"/>
          <w:lang w:val="uk-UA"/>
        </w:rPr>
        <w:t xml:space="preserve"> Б.Б., </w:t>
      </w:r>
      <w:proofErr w:type="spellStart"/>
      <w:r w:rsidRPr="00C54B18">
        <w:rPr>
          <w:sz w:val="28"/>
          <w:szCs w:val="28"/>
          <w:lang w:val="uk-UA"/>
        </w:rPr>
        <w:t>Крайдашенко</w:t>
      </w:r>
      <w:proofErr w:type="spellEnd"/>
      <w:r w:rsidRPr="00C54B18">
        <w:rPr>
          <w:sz w:val="28"/>
          <w:szCs w:val="28"/>
          <w:lang w:val="uk-UA"/>
        </w:rPr>
        <w:t xml:space="preserve"> О.В., </w:t>
      </w:r>
      <w:proofErr w:type="spellStart"/>
      <w:r w:rsidRPr="00C54B18">
        <w:rPr>
          <w:sz w:val="28"/>
          <w:szCs w:val="28"/>
          <w:lang w:val="uk-UA"/>
        </w:rPr>
        <w:t>Самура</w:t>
      </w:r>
      <w:proofErr w:type="spellEnd"/>
      <w:r w:rsidRPr="00C54B18">
        <w:rPr>
          <w:sz w:val="28"/>
          <w:szCs w:val="28"/>
          <w:lang w:val="uk-UA"/>
        </w:rPr>
        <w:t xml:space="preserve"> Б.А. та ін. 3-тє вид., </w:t>
      </w:r>
      <w:proofErr w:type="spellStart"/>
      <w:r w:rsidRPr="00C54B18">
        <w:rPr>
          <w:sz w:val="28"/>
          <w:szCs w:val="28"/>
          <w:lang w:val="uk-UA"/>
        </w:rPr>
        <w:t>доопрац</w:t>
      </w:r>
      <w:proofErr w:type="spellEnd"/>
      <w:r w:rsidRPr="00C54B18">
        <w:rPr>
          <w:sz w:val="28"/>
          <w:szCs w:val="28"/>
          <w:lang w:val="uk-UA"/>
        </w:rPr>
        <w:t>. Вінниця: Нова Книга, 2019. 232 с.</w:t>
      </w:r>
    </w:p>
    <w:p w14:paraId="4E0CDF98" w14:textId="636B00E5" w:rsidR="00230ED8" w:rsidRPr="00C54B18" w:rsidRDefault="00230ED8" w:rsidP="00230ED8">
      <w:pPr>
        <w:numPr>
          <w:ilvl w:val="0"/>
          <w:numId w:val="3"/>
        </w:numPr>
        <w:spacing w:line="360" w:lineRule="auto"/>
        <w:jc w:val="both"/>
        <w:rPr>
          <w:sz w:val="28"/>
          <w:szCs w:val="23"/>
          <w:lang w:val="uk-UA" w:eastAsia="uk-UA"/>
        </w:rPr>
      </w:pPr>
      <w:r w:rsidRPr="00C54B18">
        <w:rPr>
          <w:sz w:val="28"/>
          <w:szCs w:val="23"/>
          <w:lang w:val="uk-UA" w:eastAsia="uk-UA"/>
        </w:rPr>
        <w:t xml:space="preserve">Клінічна фармакологія: підручник / за ред. </w:t>
      </w:r>
      <w:proofErr w:type="spellStart"/>
      <w:r w:rsidRPr="00C54B18">
        <w:rPr>
          <w:sz w:val="28"/>
          <w:szCs w:val="23"/>
          <w:lang w:val="uk-UA" w:eastAsia="uk-UA"/>
        </w:rPr>
        <w:t>О.М.Біловола</w:t>
      </w:r>
      <w:proofErr w:type="spellEnd"/>
      <w:r w:rsidRPr="00C54B18">
        <w:rPr>
          <w:sz w:val="28"/>
          <w:szCs w:val="23"/>
          <w:lang w:val="uk-UA" w:eastAsia="uk-UA"/>
        </w:rPr>
        <w:t>. Вінниця: Нова Книга, 2021. 544 с.</w:t>
      </w:r>
    </w:p>
    <w:p w14:paraId="5EEAAFF8" w14:textId="05674AC2" w:rsidR="00230ED8" w:rsidRPr="00C54B18" w:rsidRDefault="00230ED8" w:rsidP="00230ED8">
      <w:pPr>
        <w:numPr>
          <w:ilvl w:val="0"/>
          <w:numId w:val="3"/>
        </w:numPr>
        <w:spacing w:line="360" w:lineRule="auto"/>
        <w:jc w:val="both"/>
        <w:rPr>
          <w:sz w:val="28"/>
          <w:szCs w:val="23"/>
          <w:lang w:val="uk-UA" w:eastAsia="uk-UA"/>
        </w:rPr>
      </w:pPr>
      <w:r w:rsidRPr="00C54B18">
        <w:rPr>
          <w:sz w:val="28"/>
          <w:szCs w:val="23"/>
          <w:lang w:val="uk-UA" w:eastAsia="uk-UA"/>
        </w:rPr>
        <w:t xml:space="preserve">Фармакологія: підручник для </w:t>
      </w:r>
      <w:proofErr w:type="spellStart"/>
      <w:r w:rsidRPr="00C54B18">
        <w:rPr>
          <w:sz w:val="28"/>
          <w:szCs w:val="23"/>
          <w:lang w:val="uk-UA" w:eastAsia="uk-UA"/>
        </w:rPr>
        <w:t>студ</w:t>
      </w:r>
      <w:proofErr w:type="spellEnd"/>
      <w:r w:rsidRPr="00C54B18">
        <w:rPr>
          <w:sz w:val="28"/>
          <w:szCs w:val="23"/>
          <w:lang w:val="uk-UA" w:eastAsia="uk-UA"/>
        </w:rPr>
        <w:t>. мед. ф-</w:t>
      </w:r>
      <w:proofErr w:type="spellStart"/>
      <w:r w:rsidRPr="00C54B18">
        <w:rPr>
          <w:sz w:val="28"/>
          <w:szCs w:val="23"/>
          <w:lang w:val="uk-UA" w:eastAsia="uk-UA"/>
        </w:rPr>
        <w:t>тів</w:t>
      </w:r>
      <w:proofErr w:type="spellEnd"/>
      <w:r w:rsidRPr="00C54B18">
        <w:rPr>
          <w:sz w:val="28"/>
          <w:szCs w:val="23"/>
          <w:lang w:val="uk-UA" w:eastAsia="uk-UA"/>
        </w:rPr>
        <w:t xml:space="preserve"> / </w:t>
      </w:r>
      <w:proofErr w:type="spellStart"/>
      <w:r w:rsidRPr="00C54B18">
        <w:rPr>
          <w:sz w:val="28"/>
          <w:szCs w:val="23"/>
          <w:lang w:val="uk-UA" w:eastAsia="uk-UA"/>
        </w:rPr>
        <w:t>Чекман</w:t>
      </w:r>
      <w:proofErr w:type="spellEnd"/>
      <w:r w:rsidRPr="00C54B18">
        <w:rPr>
          <w:sz w:val="28"/>
          <w:szCs w:val="23"/>
          <w:lang w:val="uk-UA" w:eastAsia="uk-UA"/>
        </w:rPr>
        <w:t xml:space="preserve"> І.С., </w:t>
      </w:r>
      <w:proofErr w:type="spellStart"/>
      <w:r w:rsidRPr="00C54B18">
        <w:rPr>
          <w:sz w:val="28"/>
          <w:szCs w:val="23"/>
          <w:lang w:val="uk-UA" w:eastAsia="uk-UA"/>
        </w:rPr>
        <w:t>Горчакова</w:t>
      </w:r>
      <w:proofErr w:type="spellEnd"/>
      <w:r w:rsidRPr="00C54B18">
        <w:rPr>
          <w:sz w:val="28"/>
          <w:szCs w:val="23"/>
          <w:lang w:val="uk-UA" w:eastAsia="uk-UA"/>
        </w:rPr>
        <w:t xml:space="preserve"> Н.О., </w:t>
      </w:r>
      <w:proofErr w:type="spellStart"/>
      <w:r w:rsidRPr="00C54B18">
        <w:rPr>
          <w:sz w:val="28"/>
          <w:szCs w:val="23"/>
          <w:lang w:val="uk-UA" w:eastAsia="uk-UA"/>
        </w:rPr>
        <w:t>Казак</w:t>
      </w:r>
      <w:proofErr w:type="spellEnd"/>
      <w:r w:rsidRPr="00C54B18">
        <w:rPr>
          <w:sz w:val="28"/>
          <w:szCs w:val="23"/>
          <w:lang w:val="uk-UA" w:eastAsia="uk-UA"/>
        </w:rPr>
        <w:t xml:space="preserve"> Л.І. [та ін.]; за ред. проф. </w:t>
      </w:r>
      <w:proofErr w:type="spellStart"/>
      <w:r w:rsidRPr="00C54B18">
        <w:rPr>
          <w:sz w:val="28"/>
          <w:szCs w:val="23"/>
          <w:lang w:val="uk-UA" w:eastAsia="uk-UA"/>
        </w:rPr>
        <w:t>І.С.Чекмана</w:t>
      </w:r>
      <w:proofErr w:type="spellEnd"/>
      <w:r w:rsidRPr="00C54B18">
        <w:rPr>
          <w:sz w:val="28"/>
          <w:szCs w:val="23"/>
          <w:lang w:val="uk-UA" w:eastAsia="uk-UA"/>
        </w:rPr>
        <w:t>. Вид. 4-те. Вінниця: Нова книга, 2017. 784 с.</w:t>
      </w:r>
    </w:p>
    <w:p w14:paraId="6C6DB08E" w14:textId="77777777" w:rsidR="00230ED8" w:rsidRPr="00C54B18" w:rsidRDefault="00230ED8" w:rsidP="00230ED8">
      <w:pPr>
        <w:numPr>
          <w:ilvl w:val="0"/>
          <w:numId w:val="3"/>
        </w:numPr>
        <w:suppressAutoHyphens/>
        <w:spacing w:line="360" w:lineRule="auto"/>
        <w:jc w:val="both"/>
        <w:rPr>
          <w:sz w:val="28"/>
          <w:szCs w:val="28"/>
          <w:lang w:val="uk-UA"/>
        </w:rPr>
      </w:pPr>
      <w:r w:rsidRPr="00C54B18">
        <w:rPr>
          <w:sz w:val="28"/>
          <w:szCs w:val="28"/>
          <w:lang w:val="uk-UA"/>
        </w:rPr>
        <w:t xml:space="preserve">Фармакологія в рисунках і схемах / </w:t>
      </w:r>
      <w:proofErr w:type="spellStart"/>
      <w:r w:rsidRPr="00C54B18">
        <w:rPr>
          <w:sz w:val="28"/>
          <w:szCs w:val="28"/>
          <w:lang w:val="uk-UA"/>
        </w:rPr>
        <w:t>В.В.Годован</w:t>
      </w:r>
      <w:proofErr w:type="spellEnd"/>
      <w:r w:rsidRPr="00C54B18">
        <w:rPr>
          <w:sz w:val="28"/>
          <w:szCs w:val="28"/>
          <w:lang w:val="uk-UA"/>
        </w:rPr>
        <w:t xml:space="preserve">; за ред. </w:t>
      </w:r>
      <w:proofErr w:type="spellStart"/>
      <w:r w:rsidRPr="00C54B18">
        <w:rPr>
          <w:sz w:val="28"/>
          <w:szCs w:val="28"/>
          <w:lang w:val="uk-UA"/>
        </w:rPr>
        <w:t>В.Й.Кресюна</w:t>
      </w:r>
      <w:proofErr w:type="spellEnd"/>
      <w:r w:rsidRPr="00C54B18">
        <w:rPr>
          <w:sz w:val="28"/>
          <w:szCs w:val="28"/>
          <w:lang w:val="uk-UA"/>
        </w:rPr>
        <w:t>. – Вінниця: Нова Книга. 2019. – 464 с.</w:t>
      </w:r>
    </w:p>
    <w:p w14:paraId="471B3444" w14:textId="0D3E3B51" w:rsidR="00230ED8" w:rsidRPr="00C54B18" w:rsidRDefault="00230ED8" w:rsidP="00230ED8">
      <w:pPr>
        <w:numPr>
          <w:ilvl w:val="0"/>
          <w:numId w:val="3"/>
        </w:numPr>
        <w:spacing w:line="360" w:lineRule="auto"/>
        <w:jc w:val="both"/>
        <w:rPr>
          <w:sz w:val="28"/>
          <w:szCs w:val="23"/>
          <w:lang w:val="uk-UA" w:eastAsia="uk-UA"/>
        </w:rPr>
      </w:pPr>
      <w:proofErr w:type="spellStart"/>
      <w:r w:rsidRPr="00C54B18">
        <w:rPr>
          <w:sz w:val="28"/>
          <w:szCs w:val="23"/>
          <w:lang w:val="uk-UA" w:eastAsia="uk-UA"/>
        </w:rPr>
        <w:t>Betram</w:t>
      </w:r>
      <w:proofErr w:type="spellEnd"/>
      <w:r w:rsidRPr="00C54B18">
        <w:rPr>
          <w:sz w:val="28"/>
          <w:szCs w:val="23"/>
          <w:lang w:val="uk-UA" w:eastAsia="uk-UA"/>
        </w:rPr>
        <w:t xml:space="preserve"> G </w:t>
      </w:r>
      <w:proofErr w:type="spellStart"/>
      <w:r w:rsidRPr="00C54B18">
        <w:rPr>
          <w:sz w:val="28"/>
          <w:szCs w:val="23"/>
          <w:lang w:val="uk-UA" w:eastAsia="uk-UA"/>
        </w:rPr>
        <w:t>Katzung</w:t>
      </w:r>
      <w:proofErr w:type="spellEnd"/>
      <w:r w:rsidRPr="00C54B18">
        <w:rPr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sz w:val="28"/>
          <w:szCs w:val="23"/>
          <w:lang w:val="uk-UA" w:eastAsia="uk-UA"/>
        </w:rPr>
        <w:t>Basic</w:t>
      </w:r>
      <w:proofErr w:type="spellEnd"/>
      <w:r w:rsidRPr="00C54B18">
        <w:rPr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sz w:val="28"/>
          <w:szCs w:val="23"/>
          <w:lang w:val="uk-UA" w:eastAsia="uk-UA"/>
        </w:rPr>
        <w:t>and</w:t>
      </w:r>
      <w:proofErr w:type="spellEnd"/>
      <w:r w:rsidRPr="00C54B18">
        <w:rPr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sz w:val="28"/>
          <w:szCs w:val="23"/>
          <w:lang w:val="uk-UA" w:eastAsia="uk-UA"/>
        </w:rPr>
        <w:t>Clinical</w:t>
      </w:r>
      <w:proofErr w:type="spellEnd"/>
      <w:r w:rsidRPr="00C54B18">
        <w:rPr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sz w:val="28"/>
          <w:szCs w:val="23"/>
          <w:lang w:val="uk-UA" w:eastAsia="uk-UA"/>
        </w:rPr>
        <w:t>Pharmacology</w:t>
      </w:r>
      <w:proofErr w:type="spellEnd"/>
      <w:r w:rsidRPr="00C54B18">
        <w:rPr>
          <w:sz w:val="28"/>
          <w:szCs w:val="23"/>
          <w:lang w:val="uk-UA" w:eastAsia="uk-UA"/>
        </w:rPr>
        <w:t xml:space="preserve">, 14th </w:t>
      </w:r>
      <w:proofErr w:type="spellStart"/>
      <w:r w:rsidRPr="00C54B18">
        <w:rPr>
          <w:sz w:val="28"/>
          <w:szCs w:val="23"/>
          <w:lang w:val="uk-UA" w:eastAsia="uk-UA"/>
        </w:rPr>
        <w:t>Edition</w:t>
      </w:r>
      <w:proofErr w:type="spellEnd"/>
      <w:r w:rsidRPr="00C54B18">
        <w:rPr>
          <w:sz w:val="28"/>
          <w:szCs w:val="23"/>
          <w:lang w:val="uk-UA" w:eastAsia="uk-UA"/>
        </w:rPr>
        <w:t xml:space="preserve">. - </w:t>
      </w:r>
      <w:proofErr w:type="spellStart"/>
      <w:r w:rsidRPr="00C54B18">
        <w:rPr>
          <w:sz w:val="28"/>
          <w:szCs w:val="23"/>
          <w:lang w:val="uk-UA" w:eastAsia="uk-UA"/>
        </w:rPr>
        <w:t>McGraw-Hill</w:t>
      </w:r>
      <w:proofErr w:type="spellEnd"/>
      <w:r w:rsidRPr="00C54B18">
        <w:rPr>
          <w:sz w:val="28"/>
          <w:szCs w:val="23"/>
          <w:lang w:val="uk-UA" w:eastAsia="uk-UA"/>
        </w:rPr>
        <w:t xml:space="preserve"> </w:t>
      </w:r>
      <w:proofErr w:type="spellStart"/>
      <w:r w:rsidRPr="00C54B18">
        <w:rPr>
          <w:sz w:val="28"/>
          <w:szCs w:val="23"/>
          <w:lang w:val="uk-UA" w:eastAsia="uk-UA"/>
        </w:rPr>
        <w:t>Medical</w:t>
      </w:r>
      <w:proofErr w:type="spellEnd"/>
      <w:r w:rsidRPr="00C54B18">
        <w:rPr>
          <w:sz w:val="28"/>
          <w:szCs w:val="23"/>
          <w:lang w:val="uk-UA" w:eastAsia="uk-UA"/>
        </w:rPr>
        <w:t>, 2018. 1235 р.</w:t>
      </w:r>
    </w:p>
    <w:p w14:paraId="5916D9C4" w14:textId="44C1F291" w:rsidR="00B01D86" w:rsidRPr="00B01D86" w:rsidRDefault="0016365A" w:rsidP="00B01D86">
      <w:pPr>
        <w:pStyle w:val="a6"/>
        <w:numPr>
          <w:ilvl w:val="0"/>
          <w:numId w:val="3"/>
        </w:numPr>
        <w:spacing w:line="360" w:lineRule="auto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Т.А.Андреєв</w:t>
      </w:r>
      <w:proofErr w:type="spellEnd"/>
      <w:r>
        <w:rPr>
          <w:sz w:val="28"/>
          <w:szCs w:val="28"/>
          <w:lang w:val="uk-UA"/>
        </w:rPr>
        <w:t xml:space="preserve">. </w:t>
      </w:r>
      <w:r w:rsidR="00B01D86" w:rsidRPr="00B01D86">
        <w:rPr>
          <w:sz w:val="28"/>
          <w:szCs w:val="28"/>
          <w:lang w:val="uk-UA"/>
        </w:rPr>
        <w:t xml:space="preserve">Судинні захворювання головного мозку. </w:t>
      </w:r>
      <w:r w:rsidRPr="0016365A">
        <w:rPr>
          <w:i/>
          <w:iCs/>
          <w:sz w:val="28"/>
          <w:szCs w:val="28"/>
          <w:lang w:val="uk-UA"/>
        </w:rPr>
        <w:t>Судинні захворювання головного мозку</w:t>
      </w:r>
      <w:r>
        <w:rPr>
          <w:i/>
          <w:iCs/>
          <w:sz w:val="28"/>
          <w:szCs w:val="28"/>
          <w:lang w:val="uk-UA"/>
        </w:rPr>
        <w:t>.</w:t>
      </w:r>
      <w:r w:rsidRPr="00B01D86">
        <w:rPr>
          <w:sz w:val="28"/>
          <w:szCs w:val="28"/>
          <w:lang w:val="uk-UA"/>
        </w:rPr>
        <w:t xml:space="preserve"> </w:t>
      </w:r>
      <w:r w:rsidR="00B01D86" w:rsidRPr="00B01D86">
        <w:rPr>
          <w:sz w:val="28"/>
          <w:szCs w:val="28"/>
          <w:lang w:val="uk-UA"/>
        </w:rPr>
        <w:t>2007. № 2</w:t>
      </w:r>
      <w:r>
        <w:rPr>
          <w:sz w:val="28"/>
          <w:szCs w:val="28"/>
          <w:lang w:val="uk-UA"/>
        </w:rPr>
        <w:t>. С.24-27.</w:t>
      </w:r>
    </w:p>
    <w:p w14:paraId="077E40D6" w14:textId="27763D96" w:rsidR="00B01D86" w:rsidRPr="00B01D86" w:rsidRDefault="00DF04D4" w:rsidP="00B01D86">
      <w:pPr>
        <w:pStyle w:val="a6"/>
        <w:numPr>
          <w:ilvl w:val="0"/>
          <w:numId w:val="3"/>
        </w:numPr>
        <w:spacing w:line="36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proofErr w:type="spellStart"/>
      <w:r w:rsidR="00B01D86" w:rsidRPr="00B01D86">
        <w:rPr>
          <w:sz w:val="28"/>
          <w:szCs w:val="28"/>
          <w:lang w:val="uk-UA"/>
        </w:rPr>
        <w:t>Вінничук</w:t>
      </w:r>
      <w:proofErr w:type="spellEnd"/>
      <w:r w:rsidR="00B01D86" w:rsidRPr="00B01D86">
        <w:rPr>
          <w:sz w:val="28"/>
          <w:szCs w:val="28"/>
          <w:lang w:val="uk-UA"/>
        </w:rPr>
        <w:t xml:space="preserve"> С.М., Прокопів М.М. Гострий ішемічний інсульт. К., 2006</w:t>
      </w:r>
      <w:r w:rsidR="0016365A">
        <w:rPr>
          <w:sz w:val="28"/>
          <w:szCs w:val="28"/>
          <w:lang w:val="uk-UA"/>
        </w:rPr>
        <w:t>. 159 с.</w:t>
      </w:r>
      <w:r w:rsidR="00B01D86" w:rsidRPr="00B01D86">
        <w:rPr>
          <w:sz w:val="28"/>
          <w:szCs w:val="28"/>
          <w:lang w:val="uk-UA"/>
        </w:rPr>
        <w:t> </w:t>
      </w:r>
    </w:p>
    <w:p w14:paraId="7C2B8789" w14:textId="6C66DE9F" w:rsidR="00B01D86" w:rsidRPr="00B01D86" w:rsidRDefault="00B01D86" w:rsidP="00B01D86">
      <w:pPr>
        <w:pStyle w:val="a6"/>
        <w:numPr>
          <w:ilvl w:val="0"/>
          <w:numId w:val="3"/>
        </w:numPr>
        <w:spacing w:line="360" w:lineRule="auto"/>
        <w:jc w:val="both"/>
        <w:rPr>
          <w:sz w:val="28"/>
          <w:szCs w:val="28"/>
          <w:lang w:val="uk-UA"/>
        </w:rPr>
      </w:pPr>
      <w:r w:rsidRPr="00B01D86">
        <w:rPr>
          <w:sz w:val="28"/>
          <w:szCs w:val="28"/>
          <w:lang w:val="en-US"/>
        </w:rPr>
        <w:t xml:space="preserve">Sharp, S. I., Aarsland, D., Day, S., </w:t>
      </w:r>
      <w:proofErr w:type="spellStart"/>
      <w:r w:rsidRPr="00B01D86">
        <w:rPr>
          <w:sz w:val="28"/>
          <w:szCs w:val="28"/>
          <w:lang w:val="en-US"/>
        </w:rPr>
        <w:t>Sonnesyn</w:t>
      </w:r>
      <w:proofErr w:type="spellEnd"/>
      <w:r w:rsidRPr="00B01D86">
        <w:rPr>
          <w:sz w:val="28"/>
          <w:szCs w:val="28"/>
          <w:lang w:val="en-US"/>
        </w:rPr>
        <w:t xml:space="preserve">, H., Alzheimer's Society Vascular Dementia Systematic Review Group, &amp; Ballard, C. (2011). Hypertension is a </w:t>
      </w:r>
      <w:r w:rsidRPr="00B01D86">
        <w:rPr>
          <w:sz w:val="28"/>
          <w:szCs w:val="28"/>
          <w:lang w:val="en-US"/>
        </w:rPr>
        <w:lastRenderedPageBreak/>
        <w:t xml:space="preserve">potential risk factor for vascular dementia: systematic review. </w:t>
      </w:r>
      <w:r w:rsidRPr="00865410">
        <w:rPr>
          <w:sz w:val="28"/>
          <w:szCs w:val="28"/>
          <w:lang w:val="en-US"/>
        </w:rPr>
        <w:t>International Journal of Geriatric Psychiatry, 26 (7), 661-669. DOI: </w:t>
      </w:r>
      <w:r w:rsidR="00000000">
        <w:fldChar w:fldCharType="begin"/>
      </w:r>
      <w:r w:rsidR="00000000" w:rsidRPr="00865410">
        <w:rPr>
          <w:lang w:val="en-US"/>
        </w:rPr>
        <w:instrText>HYPERLINK "https://doi.org/10.1002/gps.2572"</w:instrText>
      </w:r>
      <w:r w:rsidR="00000000">
        <w:fldChar w:fldCharType="separate"/>
      </w:r>
      <w:r w:rsidRPr="00865410">
        <w:rPr>
          <w:rStyle w:val="a7"/>
          <w:sz w:val="28"/>
          <w:szCs w:val="28"/>
          <w:lang w:val="en-US"/>
        </w:rPr>
        <w:t>https://doi.org/10.1002/gps.2572</w:t>
      </w:r>
      <w:r w:rsidR="00000000">
        <w:rPr>
          <w:rStyle w:val="a7"/>
          <w:sz w:val="28"/>
          <w:szCs w:val="28"/>
        </w:rPr>
        <w:fldChar w:fldCharType="end"/>
      </w:r>
    </w:p>
    <w:p w14:paraId="61ABCD7F" w14:textId="301496A7" w:rsidR="00B01D86" w:rsidRDefault="00B01D86" w:rsidP="00B01D86">
      <w:pPr>
        <w:pStyle w:val="a6"/>
        <w:numPr>
          <w:ilvl w:val="0"/>
          <w:numId w:val="3"/>
        </w:numPr>
        <w:spacing w:line="360" w:lineRule="auto"/>
        <w:jc w:val="both"/>
        <w:rPr>
          <w:sz w:val="28"/>
          <w:szCs w:val="28"/>
          <w:lang w:val="uk-UA"/>
        </w:rPr>
      </w:pPr>
      <w:proofErr w:type="spellStart"/>
      <w:r w:rsidRPr="00B01D86">
        <w:rPr>
          <w:sz w:val="28"/>
          <w:szCs w:val="28"/>
          <w:lang w:val="en-US"/>
        </w:rPr>
        <w:t>Kerola</w:t>
      </w:r>
      <w:proofErr w:type="spellEnd"/>
      <w:r w:rsidRPr="00B01D86">
        <w:rPr>
          <w:sz w:val="28"/>
          <w:szCs w:val="28"/>
          <w:lang w:val="en-US"/>
        </w:rPr>
        <w:t xml:space="preserve">, T., Kettunen, R., &amp; Nieminen, T. (2011). The complex interplay of cardiovascular system and cognition: how to predict dementia in the elderly? </w:t>
      </w:r>
      <w:r w:rsidRPr="00865410">
        <w:rPr>
          <w:sz w:val="28"/>
          <w:szCs w:val="28"/>
          <w:lang w:val="en-US"/>
        </w:rPr>
        <w:t>International Journal of Cardiology, 150 (2), 123-129. DOI: </w:t>
      </w:r>
      <w:r w:rsidR="00000000">
        <w:fldChar w:fldCharType="begin"/>
      </w:r>
      <w:r w:rsidR="00000000" w:rsidRPr="00865410">
        <w:rPr>
          <w:lang w:val="en-US"/>
        </w:rPr>
        <w:instrText>HYPERLINK "https://doi.org/10.1016/j.ijcard.2010.10.018"</w:instrText>
      </w:r>
      <w:r w:rsidR="00000000">
        <w:fldChar w:fldCharType="separate"/>
      </w:r>
      <w:r w:rsidRPr="00865410">
        <w:rPr>
          <w:rStyle w:val="a7"/>
          <w:sz w:val="28"/>
          <w:szCs w:val="28"/>
          <w:lang w:val="en-US"/>
        </w:rPr>
        <w:t>https://doi.org/10.1016/j.ijcard.2010.10.018</w:t>
      </w:r>
      <w:r w:rsidR="00000000">
        <w:rPr>
          <w:rStyle w:val="a7"/>
          <w:sz w:val="28"/>
          <w:szCs w:val="28"/>
        </w:rPr>
        <w:fldChar w:fldCharType="end"/>
      </w:r>
    </w:p>
    <w:p w14:paraId="32F0142A" w14:textId="0A6CDBF0" w:rsidR="001B49C1" w:rsidRPr="00B01D86" w:rsidRDefault="001B49C1" w:rsidP="00B01D86">
      <w:pPr>
        <w:pStyle w:val="a6"/>
        <w:numPr>
          <w:ilvl w:val="0"/>
          <w:numId w:val="3"/>
        </w:numPr>
        <w:spacing w:line="360" w:lineRule="auto"/>
        <w:jc w:val="both"/>
        <w:rPr>
          <w:sz w:val="28"/>
          <w:szCs w:val="28"/>
          <w:lang w:val="uk-UA"/>
        </w:rPr>
      </w:pPr>
      <w:proofErr w:type="spellStart"/>
      <w:r w:rsidRPr="001B49C1">
        <w:rPr>
          <w:sz w:val="28"/>
          <w:szCs w:val="28"/>
          <w:lang w:val="uk-UA"/>
        </w:rPr>
        <w:t>Бурчинський</w:t>
      </w:r>
      <w:proofErr w:type="spellEnd"/>
      <w:r w:rsidRPr="001B49C1">
        <w:rPr>
          <w:sz w:val="28"/>
          <w:szCs w:val="28"/>
          <w:lang w:val="uk-UA"/>
        </w:rPr>
        <w:t xml:space="preserve"> С. Г.</w:t>
      </w:r>
      <w:r w:rsidR="0016365A">
        <w:rPr>
          <w:sz w:val="28"/>
          <w:szCs w:val="28"/>
          <w:lang w:val="uk-UA"/>
        </w:rPr>
        <w:t xml:space="preserve">, </w:t>
      </w:r>
      <w:r w:rsidRPr="001B49C1">
        <w:rPr>
          <w:sz w:val="28"/>
          <w:szCs w:val="28"/>
          <w:lang w:val="uk-UA"/>
        </w:rPr>
        <w:t xml:space="preserve"> </w:t>
      </w:r>
      <w:r w:rsidR="0016365A" w:rsidRPr="001B49C1">
        <w:rPr>
          <w:sz w:val="28"/>
          <w:szCs w:val="28"/>
          <w:lang w:val="uk-UA"/>
        </w:rPr>
        <w:t>Н. Ю. Бачинська, О. А. Тихоненко</w:t>
      </w:r>
      <w:r w:rsidR="0016365A">
        <w:rPr>
          <w:sz w:val="28"/>
          <w:szCs w:val="28"/>
          <w:lang w:val="uk-UA"/>
        </w:rPr>
        <w:t>.</w:t>
      </w:r>
      <w:r w:rsidR="0016365A" w:rsidRPr="001B49C1">
        <w:rPr>
          <w:sz w:val="28"/>
          <w:szCs w:val="28"/>
          <w:lang w:val="uk-UA"/>
        </w:rPr>
        <w:t xml:space="preserve"> </w:t>
      </w:r>
      <w:proofErr w:type="spellStart"/>
      <w:r w:rsidRPr="001B49C1">
        <w:rPr>
          <w:sz w:val="28"/>
          <w:szCs w:val="28"/>
          <w:lang w:val="uk-UA"/>
        </w:rPr>
        <w:t>Ангіопротекція</w:t>
      </w:r>
      <w:proofErr w:type="spellEnd"/>
      <w:r w:rsidRPr="001B49C1">
        <w:rPr>
          <w:sz w:val="28"/>
          <w:szCs w:val="28"/>
          <w:lang w:val="uk-UA"/>
        </w:rPr>
        <w:t xml:space="preserve"> і </w:t>
      </w:r>
      <w:proofErr w:type="spellStart"/>
      <w:r w:rsidRPr="001B49C1">
        <w:rPr>
          <w:sz w:val="28"/>
          <w:szCs w:val="28"/>
          <w:lang w:val="uk-UA"/>
        </w:rPr>
        <w:t>нейропротекція</w:t>
      </w:r>
      <w:proofErr w:type="spellEnd"/>
      <w:r w:rsidRPr="001B49C1">
        <w:rPr>
          <w:sz w:val="28"/>
          <w:szCs w:val="28"/>
          <w:lang w:val="uk-UA"/>
        </w:rPr>
        <w:t>: ключові задачі фармакотерапії хронічної ішемії головного мозку</w:t>
      </w:r>
      <w:r w:rsidR="0016365A">
        <w:rPr>
          <w:sz w:val="28"/>
          <w:szCs w:val="28"/>
          <w:lang w:val="uk-UA"/>
        </w:rPr>
        <w:t>.</w:t>
      </w:r>
      <w:r w:rsidRPr="0016365A">
        <w:rPr>
          <w:i/>
          <w:iCs/>
          <w:sz w:val="28"/>
          <w:szCs w:val="28"/>
          <w:lang w:val="uk-UA"/>
        </w:rPr>
        <w:t xml:space="preserve"> Ліки України</w:t>
      </w:r>
      <w:r w:rsidRPr="001B49C1">
        <w:rPr>
          <w:sz w:val="28"/>
          <w:szCs w:val="28"/>
          <w:lang w:val="uk-UA"/>
        </w:rPr>
        <w:t>. 2022. № 1. С. 12–16.</w:t>
      </w:r>
    </w:p>
    <w:sectPr w:rsidR="001B49C1" w:rsidRPr="00B01D8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653489"/>
    <w:multiLevelType w:val="hybridMultilevel"/>
    <w:tmpl w:val="ED5217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020E3F"/>
    <w:multiLevelType w:val="hybridMultilevel"/>
    <w:tmpl w:val="53CE87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9A48BE"/>
    <w:multiLevelType w:val="multilevel"/>
    <w:tmpl w:val="DE3AE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A51BEE"/>
    <w:multiLevelType w:val="hybridMultilevel"/>
    <w:tmpl w:val="3A08A7F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5236732">
    <w:abstractNumId w:val="2"/>
  </w:num>
  <w:num w:numId="2" w16cid:durableId="395861209">
    <w:abstractNumId w:val="0"/>
  </w:num>
  <w:num w:numId="3" w16cid:durableId="68844740">
    <w:abstractNumId w:val="1"/>
  </w:num>
  <w:num w:numId="4" w16cid:durableId="1178404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23"/>
    <w:rsid w:val="0016365A"/>
    <w:rsid w:val="001B49C1"/>
    <w:rsid w:val="001D7C6E"/>
    <w:rsid w:val="00230ED8"/>
    <w:rsid w:val="003C220E"/>
    <w:rsid w:val="004676FA"/>
    <w:rsid w:val="00544B8C"/>
    <w:rsid w:val="005559F4"/>
    <w:rsid w:val="00735123"/>
    <w:rsid w:val="00790481"/>
    <w:rsid w:val="00865410"/>
    <w:rsid w:val="00913134"/>
    <w:rsid w:val="009E5BFB"/>
    <w:rsid w:val="009F527F"/>
    <w:rsid w:val="00A10CE0"/>
    <w:rsid w:val="00B01D86"/>
    <w:rsid w:val="00B2529B"/>
    <w:rsid w:val="00C0244D"/>
    <w:rsid w:val="00D271B7"/>
    <w:rsid w:val="00DF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C25AE"/>
  <w15:chartTrackingRefBased/>
  <w15:docId w15:val="{B95C97FF-38DE-4098-8785-EEC797B35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512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35123"/>
  </w:style>
  <w:style w:type="paragraph" w:styleId="a4">
    <w:name w:val="Normal (Web)"/>
    <w:basedOn w:val="a"/>
    <w:uiPriority w:val="99"/>
    <w:semiHidden/>
    <w:unhideWhenUsed/>
    <w:rsid w:val="00735123"/>
    <w:pPr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a5">
    <w:name w:val="Strong"/>
    <w:basedOn w:val="a0"/>
    <w:uiPriority w:val="22"/>
    <w:qFormat/>
    <w:rsid w:val="00735123"/>
    <w:rPr>
      <w:b/>
      <w:bCs/>
    </w:rPr>
  </w:style>
  <w:style w:type="paragraph" w:styleId="a6">
    <w:name w:val="List Paragraph"/>
    <w:basedOn w:val="a"/>
    <w:uiPriority w:val="34"/>
    <w:qFormat/>
    <w:rsid w:val="00B01D86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B01D86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01D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115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1120</TotalTime>
  <Pages>10</Pages>
  <Words>2391</Words>
  <Characters>13634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Катерина Федорівна Шемонаєва</dc:creator>
  <cp:keywords/>
  <dc:description/>
  <cp:lastModifiedBy>Катерина Федорівна Шемонаєва</cp:lastModifiedBy>
  <cp:revision>10</cp:revision>
  <dcterms:created xsi:type="dcterms:W3CDTF">2025-01-06T11:07:00Z</dcterms:created>
  <dcterms:modified xsi:type="dcterms:W3CDTF">2025-01-10T15:02:00Z</dcterms:modified>
</cp:coreProperties>
</file>