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D472BB" w14:textId="77777777" w:rsidR="000143DE" w:rsidRPr="009B772C" w:rsidRDefault="000143DE" w:rsidP="0006215E">
      <w:pPr>
        <w:spacing w:after="0" w:line="360" w:lineRule="auto"/>
        <w:jc w:val="both"/>
        <w:rPr>
          <w:rFonts w:ascii="Times New Roman" w:hAnsi="Times New Roman" w:cs="Times New Roman"/>
          <w:i/>
          <w:iCs/>
          <w:sz w:val="28"/>
          <w:szCs w:val="28"/>
        </w:rPr>
      </w:pPr>
      <w:r w:rsidRPr="009B772C">
        <w:rPr>
          <w:rFonts w:ascii="Times New Roman" w:hAnsi="Times New Roman" w:cs="Times New Roman"/>
          <w:i/>
          <w:iCs/>
          <w:sz w:val="28"/>
          <w:szCs w:val="28"/>
        </w:rPr>
        <w:t>Department of General and Clinical Pharmacology and Pharmacognosy</w:t>
      </w:r>
    </w:p>
    <w:p w14:paraId="31423C49" w14:textId="77777777" w:rsidR="000143DE" w:rsidRPr="0034040D" w:rsidRDefault="000143DE" w:rsidP="0006215E">
      <w:pPr>
        <w:spacing w:after="0" w:line="360" w:lineRule="auto"/>
        <w:jc w:val="both"/>
        <w:rPr>
          <w:rFonts w:ascii="Times New Roman" w:hAnsi="Times New Roman" w:cs="Times New Roman"/>
          <w:sz w:val="28"/>
          <w:szCs w:val="28"/>
        </w:rPr>
      </w:pPr>
    </w:p>
    <w:p w14:paraId="550F99E1" w14:textId="77777777" w:rsidR="000143DE" w:rsidRPr="0034040D" w:rsidRDefault="000143DE" w:rsidP="0006215E">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Discipline: </w:t>
      </w:r>
      <w:r w:rsidRPr="009B772C">
        <w:rPr>
          <w:rFonts w:ascii="Times New Roman" w:hAnsi="Times New Roman" w:cs="Times New Roman"/>
          <w:b/>
          <w:bCs/>
          <w:sz w:val="28"/>
          <w:szCs w:val="28"/>
        </w:rPr>
        <w:t>PHARMACOLOGY</w:t>
      </w:r>
    </w:p>
    <w:p w14:paraId="528F3304" w14:textId="77777777" w:rsidR="000143DE" w:rsidRPr="0034040D" w:rsidRDefault="000143DE" w:rsidP="0006215E">
      <w:pPr>
        <w:spacing w:after="0" w:line="360" w:lineRule="auto"/>
        <w:jc w:val="both"/>
        <w:rPr>
          <w:rFonts w:ascii="Times New Roman" w:hAnsi="Times New Roman" w:cs="Times New Roman"/>
          <w:sz w:val="28"/>
          <w:szCs w:val="28"/>
        </w:rPr>
      </w:pPr>
    </w:p>
    <w:p w14:paraId="5AA4F7F8" w14:textId="77777777" w:rsidR="000143DE" w:rsidRPr="0034040D" w:rsidRDefault="000143DE" w:rsidP="0006215E">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Additional material for studying the topic of SRS in pharmacology:</w:t>
      </w:r>
    </w:p>
    <w:p w14:paraId="05C9C4EE" w14:textId="77777777" w:rsidR="000143DE" w:rsidRPr="009B772C" w:rsidRDefault="000143DE" w:rsidP="0006215E">
      <w:pPr>
        <w:spacing w:after="0" w:line="360" w:lineRule="auto"/>
        <w:jc w:val="both"/>
        <w:rPr>
          <w:rFonts w:ascii="Times New Roman" w:hAnsi="Times New Roman" w:cs="Times New Roman"/>
          <w:b/>
          <w:bCs/>
          <w:sz w:val="28"/>
          <w:szCs w:val="28"/>
        </w:rPr>
      </w:pPr>
    </w:p>
    <w:p w14:paraId="28949E27" w14:textId="77777777" w:rsidR="000143DE" w:rsidRPr="009B772C" w:rsidRDefault="000143DE" w:rsidP="0006215E">
      <w:pPr>
        <w:spacing w:after="0" w:line="360" w:lineRule="auto"/>
        <w:jc w:val="both"/>
        <w:rPr>
          <w:rFonts w:ascii="Times New Roman" w:hAnsi="Times New Roman" w:cs="Times New Roman"/>
          <w:b/>
          <w:bCs/>
          <w:sz w:val="28"/>
          <w:szCs w:val="28"/>
        </w:rPr>
      </w:pPr>
      <w:r w:rsidRPr="009B772C">
        <w:rPr>
          <w:rFonts w:ascii="Times New Roman" w:hAnsi="Times New Roman" w:cs="Times New Roman"/>
          <w:b/>
          <w:bCs/>
          <w:sz w:val="28"/>
          <w:szCs w:val="28"/>
        </w:rPr>
        <w:t>CEREBROVASCULAR MEDICINES.</w:t>
      </w:r>
    </w:p>
    <w:p w14:paraId="688400C7" w14:textId="77777777" w:rsidR="000143DE" w:rsidRPr="0034040D" w:rsidRDefault="000143DE" w:rsidP="0006215E">
      <w:pPr>
        <w:spacing w:after="0" w:line="360" w:lineRule="auto"/>
        <w:jc w:val="both"/>
        <w:rPr>
          <w:rFonts w:ascii="Times New Roman" w:hAnsi="Times New Roman" w:cs="Times New Roman"/>
          <w:sz w:val="28"/>
          <w:szCs w:val="28"/>
        </w:rPr>
      </w:pPr>
    </w:p>
    <w:p w14:paraId="2B1EBE7E" w14:textId="77777777" w:rsidR="000143DE" w:rsidRPr="0034040D" w:rsidRDefault="000143DE" w:rsidP="0006215E">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Protocol No. 1 dated 08/30/24 was approved at the PCMC of the Faculty of Pharmacy.</w:t>
      </w:r>
    </w:p>
    <w:p w14:paraId="557EA656" w14:textId="77777777" w:rsidR="000143DE" w:rsidRPr="0034040D" w:rsidRDefault="000143DE" w:rsidP="0006215E">
      <w:pPr>
        <w:spacing w:after="0" w:line="360" w:lineRule="auto"/>
        <w:jc w:val="both"/>
        <w:rPr>
          <w:rFonts w:ascii="Times New Roman" w:hAnsi="Times New Roman" w:cs="Times New Roman"/>
          <w:sz w:val="28"/>
          <w:szCs w:val="28"/>
        </w:rPr>
      </w:pPr>
    </w:p>
    <w:p w14:paraId="79CA13FB" w14:textId="6621945F" w:rsidR="005559F4" w:rsidRPr="0034040D" w:rsidRDefault="000143DE" w:rsidP="0006215E">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Associate Professor of the Department of General and Clinical Pharmacology and Pharmacognosy</w:t>
      </w:r>
      <w:r w:rsidR="0006215E" w:rsidRPr="0034040D">
        <w:rPr>
          <w:rFonts w:ascii="Times New Roman" w:hAnsi="Times New Roman" w:cs="Times New Roman"/>
          <w:sz w:val="28"/>
          <w:szCs w:val="28"/>
        </w:rPr>
        <w:t xml:space="preserve"> </w:t>
      </w:r>
      <w:proofErr w:type="spellStart"/>
      <w:r w:rsidRPr="009B772C">
        <w:rPr>
          <w:rFonts w:ascii="Times New Roman" w:hAnsi="Times New Roman" w:cs="Times New Roman"/>
          <w:b/>
          <w:bCs/>
          <w:sz w:val="28"/>
          <w:szCs w:val="28"/>
        </w:rPr>
        <w:t>Shemonaeva</w:t>
      </w:r>
      <w:proofErr w:type="spellEnd"/>
      <w:r w:rsidRPr="009B772C">
        <w:rPr>
          <w:rFonts w:ascii="Times New Roman" w:hAnsi="Times New Roman" w:cs="Times New Roman"/>
          <w:b/>
          <w:bCs/>
          <w:sz w:val="28"/>
          <w:szCs w:val="28"/>
        </w:rPr>
        <w:t xml:space="preserve"> K.F.</w:t>
      </w:r>
    </w:p>
    <w:p w14:paraId="79C086F1" w14:textId="77777777" w:rsidR="0006215E" w:rsidRPr="0034040D" w:rsidRDefault="0006215E" w:rsidP="0006215E">
      <w:pPr>
        <w:spacing w:after="0" w:line="360" w:lineRule="auto"/>
        <w:jc w:val="both"/>
        <w:rPr>
          <w:rFonts w:ascii="Times New Roman" w:hAnsi="Times New Roman" w:cs="Times New Roman"/>
          <w:sz w:val="28"/>
          <w:szCs w:val="28"/>
        </w:rPr>
      </w:pPr>
    </w:p>
    <w:p w14:paraId="7C8E8F9C" w14:textId="77777777" w:rsidR="0006215E" w:rsidRPr="0034040D" w:rsidRDefault="0006215E" w:rsidP="0006215E">
      <w:pPr>
        <w:spacing w:after="0" w:line="360" w:lineRule="auto"/>
        <w:jc w:val="both"/>
        <w:rPr>
          <w:rFonts w:ascii="Times New Roman" w:hAnsi="Times New Roman" w:cs="Times New Roman"/>
          <w:sz w:val="28"/>
          <w:szCs w:val="28"/>
        </w:rPr>
      </w:pPr>
    </w:p>
    <w:p w14:paraId="1BCD1730" w14:textId="77777777" w:rsidR="0006215E" w:rsidRPr="0034040D" w:rsidRDefault="0006215E" w:rsidP="0006215E">
      <w:pPr>
        <w:spacing w:after="0" w:line="360" w:lineRule="auto"/>
        <w:jc w:val="both"/>
        <w:rPr>
          <w:rFonts w:ascii="Times New Roman" w:hAnsi="Times New Roman" w:cs="Times New Roman"/>
          <w:sz w:val="28"/>
          <w:szCs w:val="28"/>
        </w:rPr>
      </w:pPr>
    </w:p>
    <w:p w14:paraId="4F7CC090" w14:textId="77777777" w:rsidR="0006215E" w:rsidRPr="0034040D" w:rsidRDefault="0006215E" w:rsidP="0006215E">
      <w:pPr>
        <w:spacing w:after="0" w:line="360" w:lineRule="auto"/>
        <w:jc w:val="both"/>
        <w:rPr>
          <w:rFonts w:ascii="Times New Roman" w:hAnsi="Times New Roman" w:cs="Times New Roman"/>
          <w:sz w:val="28"/>
          <w:szCs w:val="28"/>
        </w:rPr>
      </w:pPr>
    </w:p>
    <w:p w14:paraId="5684355D" w14:textId="77777777" w:rsidR="0006215E" w:rsidRPr="0034040D" w:rsidRDefault="0006215E" w:rsidP="0006215E">
      <w:pPr>
        <w:spacing w:after="0" w:line="360" w:lineRule="auto"/>
        <w:jc w:val="both"/>
        <w:rPr>
          <w:rFonts w:ascii="Times New Roman" w:hAnsi="Times New Roman" w:cs="Times New Roman"/>
          <w:sz w:val="28"/>
          <w:szCs w:val="28"/>
        </w:rPr>
      </w:pPr>
    </w:p>
    <w:p w14:paraId="034DDAA9" w14:textId="77777777" w:rsidR="0006215E" w:rsidRPr="0034040D" w:rsidRDefault="0006215E" w:rsidP="0006215E">
      <w:pPr>
        <w:spacing w:after="0" w:line="360" w:lineRule="auto"/>
        <w:jc w:val="both"/>
        <w:rPr>
          <w:rFonts w:ascii="Times New Roman" w:hAnsi="Times New Roman" w:cs="Times New Roman"/>
          <w:sz w:val="28"/>
          <w:szCs w:val="28"/>
        </w:rPr>
      </w:pPr>
    </w:p>
    <w:p w14:paraId="5578CEBC" w14:textId="77777777" w:rsidR="0006215E" w:rsidRPr="0034040D" w:rsidRDefault="0006215E" w:rsidP="0006215E">
      <w:pPr>
        <w:spacing w:after="0" w:line="360" w:lineRule="auto"/>
        <w:jc w:val="both"/>
        <w:rPr>
          <w:rFonts w:ascii="Times New Roman" w:hAnsi="Times New Roman" w:cs="Times New Roman"/>
          <w:sz w:val="28"/>
          <w:szCs w:val="28"/>
        </w:rPr>
      </w:pPr>
    </w:p>
    <w:p w14:paraId="11847195" w14:textId="77777777" w:rsidR="0006215E" w:rsidRPr="0034040D" w:rsidRDefault="0006215E" w:rsidP="0006215E">
      <w:pPr>
        <w:spacing w:after="0" w:line="360" w:lineRule="auto"/>
        <w:jc w:val="both"/>
        <w:rPr>
          <w:rFonts w:ascii="Times New Roman" w:hAnsi="Times New Roman" w:cs="Times New Roman"/>
          <w:sz w:val="28"/>
          <w:szCs w:val="28"/>
        </w:rPr>
      </w:pPr>
    </w:p>
    <w:p w14:paraId="03CC9367" w14:textId="77777777" w:rsidR="0006215E" w:rsidRPr="0034040D" w:rsidRDefault="0006215E" w:rsidP="0006215E">
      <w:pPr>
        <w:spacing w:after="0" w:line="360" w:lineRule="auto"/>
        <w:jc w:val="both"/>
        <w:rPr>
          <w:rFonts w:ascii="Times New Roman" w:hAnsi="Times New Roman" w:cs="Times New Roman"/>
          <w:sz w:val="28"/>
          <w:szCs w:val="28"/>
        </w:rPr>
      </w:pPr>
    </w:p>
    <w:p w14:paraId="5406F770" w14:textId="77777777" w:rsidR="0006215E" w:rsidRPr="0034040D" w:rsidRDefault="0006215E" w:rsidP="0006215E">
      <w:pPr>
        <w:spacing w:after="0" w:line="360" w:lineRule="auto"/>
        <w:jc w:val="both"/>
        <w:rPr>
          <w:rFonts w:ascii="Times New Roman" w:hAnsi="Times New Roman" w:cs="Times New Roman"/>
          <w:sz w:val="28"/>
          <w:szCs w:val="28"/>
        </w:rPr>
      </w:pPr>
    </w:p>
    <w:p w14:paraId="43C09ED3" w14:textId="77777777" w:rsidR="0006215E" w:rsidRPr="0034040D" w:rsidRDefault="0006215E" w:rsidP="0006215E">
      <w:pPr>
        <w:spacing w:after="0" w:line="360" w:lineRule="auto"/>
        <w:jc w:val="both"/>
        <w:rPr>
          <w:rFonts w:ascii="Times New Roman" w:hAnsi="Times New Roman" w:cs="Times New Roman"/>
          <w:sz w:val="28"/>
          <w:szCs w:val="28"/>
        </w:rPr>
      </w:pPr>
    </w:p>
    <w:p w14:paraId="5CD3FB20" w14:textId="77777777" w:rsidR="0006215E" w:rsidRPr="0034040D" w:rsidRDefault="0006215E" w:rsidP="0006215E">
      <w:pPr>
        <w:spacing w:after="0" w:line="360" w:lineRule="auto"/>
        <w:jc w:val="both"/>
        <w:rPr>
          <w:rFonts w:ascii="Times New Roman" w:hAnsi="Times New Roman" w:cs="Times New Roman"/>
          <w:sz w:val="28"/>
          <w:szCs w:val="28"/>
        </w:rPr>
      </w:pPr>
    </w:p>
    <w:p w14:paraId="38FAF16D" w14:textId="77777777" w:rsidR="0006215E" w:rsidRPr="0034040D" w:rsidRDefault="0006215E" w:rsidP="0006215E">
      <w:pPr>
        <w:spacing w:after="0" w:line="360" w:lineRule="auto"/>
        <w:jc w:val="both"/>
        <w:rPr>
          <w:rFonts w:ascii="Times New Roman" w:hAnsi="Times New Roman" w:cs="Times New Roman"/>
          <w:sz w:val="28"/>
          <w:szCs w:val="28"/>
        </w:rPr>
      </w:pPr>
    </w:p>
    <w:p w14:paraId="18A611DF" w14:textId="77777777" w:rsidR="0006215E" w:rsidRPr="0034040D" w:rsidRDefault="0006215E" w:rsidP="0006215E">
      <w:pPr>
        <w:spacing w:after="0" w:line="360" w:lineRule="auto"/>
        <w:jc w:val="both"/>
        <w:rPr>
          <w:rFonts w:ascii="Times New Roman" w:hAnsi="Times New Roman" w:cs="Times New Roman"/>
          <w:sz w:val="28"/>
          <w:szCs w:val="28"/>
        </w:rPr>
      </w:pPr>
    </w:p>
    <w:p w14:paraId="799D1592" w14:textId="77777777" w:rsidR="0006215E" w:rsidRPr="0034040D" w:rsidRDefault="0006215E" w:rsidP="0006215E">
      <w:pPr>
        <w:spacing w:after="0" w:line="360" w:lineRule="auto"/>
        <w:jc w:val="both"/>
        <w:rPr>
          <w:rFonts w:ascii="Times New Roman" w:hAnsi="Times New Roman" w:cs="Times New Roman"/>
          <w:sz w:val="28"/>
          <w:szCs w:val="28"/>
        </w:rPr>
      </w:pPr>
    </w:p>
    <w:p w14:paraId="525134BB" w14:textId="77777777" w:rsidR="009B772C" w:rsidRDefault="009B772C" w:rsidP="0006215E">
      <w:pPr>
        <w:spacing w:after="0" w:line="360" w:lineRule="auto"/>
        <w:jc w:val="both"/>
        <w:rPr>
          <w:rFonts w:ascii="Times New Roman" w:hAnsi="Times New Roman" w:cs="Times New Roman"/>
          <w:sz w:val="28"/>
          <w:szCs w:val="28"/>
          <w:lang w:val="uk-UA"/>
        </w:rPr>
      </w:pPr>
    </w:p>
    <w:p w14:paraId="4FC1661B" w14:textId="34E86400" w:rsidR="0006215E" w:rsidRPr="009B772C" w:rsidRDefault="0006215E" w:rsidP="009B772C">
      <w:pPr>
        <w:spacing w:after="0" w:line="360" w:lineRule="auto"/>
        <w:jc w:val="center"/>
        <w:rPr>
          <w:rFonts w:ascii="Times New Roman" w:hAnsi="Times New Roman" w:cs="Times New Roman"/>
          <w:b/>
          <w:bCs/>
          <w:sz w:val="28"/>
          <w:szCs w:val="28"/>
        </w:rPr>
      </w:pPr>
      <w:r w:rsidRPr="009B772C">
        <w:rPr>
          <w:rFonts w:ascii="Times New Roman" w:hAnsi="Times New Roman" w:cs="Times New Roman"/>
          <w:b/>
          <w:bCs/>
          <w:sz w:val="28"/>
          <w:szCs w:val="28"/>
        </w:rPr>
        <w:lastRenderedPageBreak/>
        <w:t>CEREBROVASCULAR MEDICINES.</w:t>
      </w:r>
    </w:p>
    <w:p w14:paraId="4976EE2D" w14:textId="77777777" w:rsidR="0006215E" w:rsidRPr="0034040D" w:rsidRDefault="0006215E" w:rsidP="0006215E">
      <w:pPr>
        <w:spacing w:after="0" w:line="360" w:lineRule="auto"/>
        <w:jc w:val="both"/>
        <w:rPr>
          <w:rFonts w:ascii="Times New Roman" w:hAnsi="Times New Roman" w:cs="Times New Roman"/>
          <w:sz w:val="28"/>
          <w:szCs w:val="28"/>
        </w:rPr>
      </w:pPr>
    </w:p>
    <w:p w14:paraId="729C226A"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The brain is the main element of the central nervous system. It is he who coordinates the activity of all systems without exception and the performance of vital functions of the human body. The ability to perceive the world around us, to speak, to move, to breathe, the coordinated work of internal organs - all this directly depends on the full supply of brain tissues with blood, which saturates them with oxygen and necessary nutrients (glucose, vitamins, amino acids).</w:t>
      </w:r>
    </w:p>
    <w:p w14:paraId="6AE13630"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As a result, even the most minor disturbances in blood supply in such a case can </w:t>
      </w:r>
      <w:proofErr w:type="gramStart"/>
      <w:r w:rsidRPr="0034040D">
        <w:rPr>
          <w:rFonts w:ascii="Times New Roman" w:hAnsi="Times New Roman" w:cs="Times New Roman"/>
          <w:sz w:val="28"/>
          <w:szCs w:val="28"/>
        </w:rPr>
        <w:t>lead</w:t>
      </w:r>
      <w:proofErr w:type="gramEnd"/>
      <w:r w:rsidRPr="0034040D">
        <w:rPr>
          <w:rFonts w:ascii="Times New Roman" w:hAnsi="Times New Roman" w:cs="Times New Roman"/>
          <w:sz w:val="28"/>
          <w:szCs w:val="28"/>
        </w:rPr>
        <w:t xml:space="preserve"> to extremely dangerous consequences for life and health. Drugs to improve cerebral circulation will help to avoid such a scenario and preserve the opportunity to live a full life.</w:t>
      </w:r>
    </w:p>
    <w:p w14:paraId="7A6C87BD" w14:textId="5CE8CF0A"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Stroke and other cerebrovascular diseases are the most important risk factors for epilepsy in old age - 30-50% of all identified causes. Epilepsy can occur immediately after a stroke, and can also be an early clinical manifestation of cerebrovascular disease. The risk of developing epilepsy in the first year after a stroke increases 20-fold (Table 1). The risk of developing epileptic seizures within 5 years after the first stroke is 11.5% (according to various data, from 4 to 43%).</w:t>
      </w:r>
    </w:p>
    <w:p w14:paraId="64DA2587"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Treatment and prevention of cerebrovascular pathology includes correction of vascular risk factors (control of blood pressure (BP), stabilization of heart rhythm, normalization of glucose and lipoprotein levels in the blood, etc.), ensuring a healthy lifestyle (control of body weight, quitting smoking, limiting salt intake, etc.), improving cerebral hemodynamics, neuroprotection (</w:t>
      </w:r>
      <w:proofErr w:type="spellStart"/>
      <w:r w:rsidRPr="0034040D">
        <w:rPr>
          <w:rFonts w:ascii="Times New Roman" w:hAnsi="Times New Roman" w:cs="Times New Roman"/>
          <w:sz w:val="28"/>
          <w:szCs w:val="28"/>
        </w:rPr>
        <w:t>cytoprotection</w:t>
      </w:r>
      <w:proofErr w:type="spellEnd"/>
      <w:r w:rsidRPr="0034040D">
        <w:rPr>
          <w:rFonts w:ascii="Times New Roman" w:hAnsi="Times New Roman" w:cs="Times New Roman"/>
          <w:sz w:val="28"/>
          <w:szCs w:val="28"/>
        </w:rPr>
        <w:t>).</w:t>
      </w:r>
    </w:p>
    <w:p w14:paraId="121B662C" w14:textId="1FDE90AD"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Treatment is aimed at increasing neurotrophic and nephroprotective effects, enhancing brain energy metabolism; normalizing its blood supply. The use of the drug Mildronate allows you to reduce the level of transport of free fatty acids and the formation of acyl-CoA in mitochondria. Glucose begins to be used in cells instead of fatty acids, and this process requires less oxygen. A physiological antioxidant is alpha-</w:t>
      </w:r>
      <w:r w:rsidRPr="0034040D">
        <w:rPr>
          <w:rFonts w:ascii="Times New Roman" w:hAnsi="Times New Roman" w:cs="Times New Roman"/>
          <w:sz w:val="28"/>
          <w:szCs w:val="28"/>
        </w:rPr>
        <w:lastRenderedPageBreak/>
        <w:t xml:space="preserve">lipoic acid, which normalizes energy, carbohydrate and lipid metabolism. Drugs with neuroprotective, neuroplastic, neurotrophic and </w:t>
      </w:r>
      <w:proofErr w:type="spellStart"/>
      <w:r w:rsidRPr="0034040D">
        <w:rPr>
          <w:rFonts w:ascii="Times New Roman" w:hAnsi="Times New Roman" w:cs="Times New Roman"/>
          <w:sz w:val="28"/>
          <w:szCs w:val="28"/>
        </w:rPr>
        <w:t>neuroregenerative</w:t>
      </w:r>
      <w:proofErr w:type="spellEnd"/>
      <w:r w:rsidRPr="0034040D">
        <w:rPr>
          <w:rFonts w:ascii="Times New Roman" w:hAnsi="Times New Roman" w:cs="Times New Roman"/>
          <w:sz w:val="28"/>
          <w:szCs w:val="28"/>
        </w:rPr>
        <w:t xml:space="preserve"> function include the drug </w:t>
      </w:r>
      <w:proofErr w:type="spellStart"/>
      <w:r w:rsidRPr="0034040D">
        <w:rPr>
          <w:rFonts w:ascii="Times New Roman" w:hAnsi="Times New Roman" w:cs="Times New Roman"/>
          <w:sz w:val="28"/>
          <w:szCs w:val="28"/>
        </w:rPr>
        <w:t>Cerebrolysin</w:t>
      </w:r>
      <w:proofErr w:type="spellEnd"/>
      <w:r w:rsidRPr="0034040D">
        <w:rPr>
          <w:rFonts w:ascii="Times New Roman" w:hAnsi="Times New Roman" w:cs="Times New Roman"/>
          <w:sz w:val="28"/>
          <w:szCs w:val="28"/>
        </w:rPr>
        <w:t>, which is used in courses in doses. With an increase in the level of anxiety, changes in the activity of the sympathoadrenal, hypothalamic-pituitary-adrenal and renin-angiotensin-aldosterone systems of the body are noted, which are accompanied by impaired vascular endothelial function, which can lead to the progression of cardiovascular diseases. Therefore, it is advisable to prescribe tranquilizers.</w:t>
      </w:r>
    </w:p>
    <w:p w14:paraId="0E7CB9C3"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Classification and principle of action of drugs</w:t>
      </w:r>
    </w:p>
    <w:p w14:paraId="61EF219D"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To restore full blood supply to the brain, modern medicine uses a whole range of drugs, including:</w:t>
      </w:r>
    </w:p>
    <w:p w14:paraId="2DE97195" w14:textId="6B6F6555" w:rsidR="0006215E" w:rsidRPr="0034040D" w:rsidRDefault="0006215E" w:rsidP="0006215E">
      <w:pPr>
        <w:pStyle w:val="a3"/>
        <w:numPr>
          <w:ilvl w:val="0"/>
          <w:numId w:val="1"/>
        </w:num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Vasodilators - the use of drugs in this group allows you to expand the lumen of blood vessels and thereby improve blood supply to tissues (drugs based on nicotinic acid, nitroglycerin).</w:t>
      </w:r>
    </w:p>
    <w:p w14:paraId="6FB72A08" w14:textId="36B8C1CF" w:rsidR="0006215E" w:rsidRPr="0034040D" w:rsidRDefault="0006215E" w:rsidP="0006215E">
      <w:pPr>
        <w:pStyle w:val="a3"/>
        <w:numPr>
          <w:ilvl w:val="0"/>
          <w:numId w:val="1"/>
        </w:num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Anticoagulants and antiplatelet agents - drugs in these groups normalize blood viscosity, prevent the formation of clots and thrombi (warfarin, </w:t>
      </w:r>
      <w:proofErr w:type="spellStart"/>
      <w:r w:rsidRPr="0034040D">
        <w:rPr>
          <w:rFonts w:ascii="Times New Roman" w:hAnsi="Times New Roman" w:cs="Times New Roman"/>
          <w:sz w:val="28"/>
          <w:szCs w:val="28"/>
        </w:rPr>
        <w:t>dicoumarin</w:t>
      </w:r>
      <w:proofErr w:type="spellEnd"/>
      <w:r w:rsidRPr="0034040D">
        <w:rPr>
          <w:rFonts w:ascii="Times New Roman" w:hAnsi="Times New Roman" w:cs="Times New Roman"/>
          <w:sz w:val="28"/>
          <w:szCs w:val="28"/>
        </w:rPr>
        <w:t>, acetylsalicylic acid, clopidogrel).</w:t>
      </w:r>
    </w:p>
    <w:p w14:paraId="60D46AFE" w14:textId="5A76B3DD" w:rsidR="0006215E" w:rsidRPr="0034040D" w:rsidRDefault="0006215E" w:rsidP="0006215E">
      <w:pPr>
        <w:pStyle w:val="a3"/>
        <w:numPr>
          <w:ilvl w:val="0"/>
          <w:numId w:val="1"/>
        </w:num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Drugs for strengthening the walls of blood vessels and arteries - increase the strength and elasticity of blood vessels (</w:t>
      </w:r>
      <w:proofErr w:type="spellStart"/>
      <w:r w:rsidRPr="0034040D">
        <w:rPr>
          <w:rFonts w:ascii="Times New Roman" w:hAnsi="Times New Roman" w:cs="Times New Roman"/>
          <w:sz w:val="28"/>
          <w:szCs w:val="28"/>
        </w:rPr>
        <w:t>dihydroquercetin</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rutoside</w:t>
      </w:r>
      <w:proofErr w:type="spellEnd"/>
      <w:r w:rsidRPr="0034040D">
        <w:rPr>
          <w:rFonts w:ascii="Times New Roman" w:hAnsi="Times New Roman" w:cs="Times New Roman"/>
          <w:sz w:val="28"/>
          <w:szCs w:val="28"/>
        </w:rPr>
        <w:t>).</w:t>
      </w:r>
    </w:p>
    <w:p w14:paraId="5019764D" w14:textId="04C5D69A" w:rsidR="0006215E" w:rsidRPr="0034040D" w:rsidRDefault="0006215E" w:rsidP="0006215E">
      <w:pPr>
        <w:pStyle w:val="a3"/>
        <w:numPr>
          <w:ilvl w:val="0"/>
          <w:numId w:val="1"/>
        </w:num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Nootropics - drugs in this group contribute to the normalization of metabolism in nerve cells. Currently, there is no unequivocal evidence that these drugs have a therapeutic effect (piracetam, vinpocetine, </w:t>
      </w:r>
      <w:proofErr w:type="spellStart"/>
      <w:r w:rsidRPr="0034040D">
        <w:rPr>
          <w:rFonts w:ascii="Times New Roman" w:hAnsi="Times New Roman" w:cs="Times New Roman"/>
          <w:sz w:val="28"/>
          <w:szCs w:val="28"/>
        </w:rPr>
        <w:t>hopantenic</w:t>
      </w:r>
      <w:proofErr w:type="spellEnd"/>
      <w:r w:rsidRPr="0034040D">
        <w:rPr>
          <w:rFonts w:ascii="Times New Roman" w:hAnsi="Times New Roman" w:cs="Times New Roman"/>
          <w:sz w:val="28"/>
          <w:szCs w:val="28"/>
        </w:rPr>
        <w:t xml:space="preserve"> acid).</w:t>
      </w:r>
    </w:p>
    <w:p w14:paraId="7BDC549E" w14:textId="3E94B66F" w:rsidR="0006215E" w:rsidRPr="0034040D" w:rsidRDefault="0006215E" w:rsidP="0006215E">
      <w:pPr>
        <w:pStyle w:val="a3"/>
        <w:numPr>
          <w:ilvl w:val="0"/>
          <w:numId w:val="1"/>
        </w:num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Drugs that correct microcirculation – affect the blood flow rate, tone of the capillary network, arteries and veins (</w:t>
      </w:r>
      <w:proofErr w:type="spellStart"/>
      <w:r w:rsidRPr="0034040D">
        <w:rPr>
          <w:rFonts w:ascii="Times New Roman" w:hAnsi="Times New Roman" w:cs="Times New Roman"/>
          <w:sz w:val="28"/>
          <w:szCs w:val="28"/>
        </w:rPr>
        <w:t>betagistin</w:t>
      </w:r>
      <w:proofErr w:type="spellEnd"/>
      <w:r w:rsidRPr="0034040D">
        <w:rPr>
          <w:rFonts w:ascii="Times New Roman" w:hAnsi="Times New Roman" w:cs="Times New Roman"/>
          <w:sz w:val="28"/>
          <w:szCs w:val="28"/>
        </w:rPr>
        <w:t>).</w:t>
      </w:r>
    </w:p>
    <w:p w14:paraId="4496AF57" w14:textId="4EA719C6"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One of the important pathogenetic aspects of treating patients is the correction of cerebral hemodynamics. For this purpose, vasoactive drugs are used: – phosphodiesterase inhibitors (</w:t>
      </w:r>
      <w:proofErr w:type="spellStart"/>
      <w:r w:rsidRPr="0034040D">
        <w:rPr>
          <w:rFonts w:ascii="Times New Roman" w:hAnsi="Times New Roman" w:cs="Times New Roman"/>
          <w:sz w:val="28"/>
          <w:szCs w:val="28"/>
        </w:rPr>
        <w:t>euphyllin</w:t>
      </w:r>
      <w:proofErr w:type="spellEnd"/>
      <w:r w:rsidRPr="0034040D">
        <w:rPr>
          <w:rFonts w:ascii="Times New Roman" w:hAnsi="Times New Roman" w:cs="Times New Roman"/>
          <w:sz w:val="28"/>
          <w:szCs w:val="28"/>
        </w:rPr>
        <w:t xml:space="preserve">, pentoxifylline, vinpocetine); – calcium </w:t>
      </w:r>
      <w:r w:rsidRPr="0034040D">
        <w:rPr>
          <w:rFonts w:ascii="Times New Roman" w:hAnsi="Times New Roman" w:cs="Times New Roman"/>
          <w:sz w:val="28"/>
          <w:szCs w:val="28"/>
        </w:rPr>
        <w:lastRenderedPageBreak/>
        <w:t>channel blockers (nimodipine, cinnarizine); – α2-adrenoblockers (nicergoline); – drugs with a polymodal mechanism of action (</w:t>
      </w:r>
      <w:proofErr w:type="spellStart"/>
      <w:r w:rsidRPr="0034040D">
        <w:rPr>
          <w:rFonts w:ascii="Times New Roman" w:hAnsi="Times New Roman" w:cs="Times New Roman"/>
          <w:sz w:val="28"/>
          <w:szCs w:val="28"/>
        </w:rPr>
        <w:t>tanakan</w:t>
      </w:r>
      <w:proofErr w:type="spellEnd"/>
      <w:r w:rsidRPr="0034040D">
        <w:rPr>
          <w:rFonts w:ascii="Times New Roman" w:hAnsi="Times New Roman" w:cs="Times New Roman"/>
          <w:sz w:val="28"/>
          <w:szCs w:val="28"/>
        </w:rPr>
        <w:t>).</w:t>
      </w:r>
    </w:p>
    <w:p w14:paraId="5B3BE838" w14:textId="3040CEF5"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CEREBROPROTECTORS (Latin cerebrum - brain + protector - protector) - drugs that reduce damage and prevent the death of brain neurons in conditions of acute cerebral ischemia or in the post-reperfusion period of stroke, and also contribute to the improvement of neurological status, faster regression of neurological deficit and improvement of cognitive and memory functions in patients who have suffered an acute cerebrovascular accident (stroke, transient ischemic attack), traumatic brain injury and in chronic cerebrovascular insufficiency and </w:t>
      </w:r>
      <w:proofErr w:type="spellStart"/>
      <w:r w:rsidRPr="0034040D">
        <w:rPr>
          <w:rFonts w:ascii="Times New Roman" w:hAnsi="Times New Roman" w:cs="Times New Roman"/>
          <w:sz w:val="28"/>
          <w:szCs w:val="28"/>
        </w:rPr>
        <w:t>neurodestructive</w:t>
      </w:r>
      <w:proofErr w:type="spellEnd"/>
      <w:r w:rsidRPr="0034040D">
        <w:rPr>
          <w:rFonts w:ascii="Times New Roman" w:hAnsi="Times New Roman" w:cs="Times New Roman"/>
          <w:sz w:val="28"/>
          <w:szCs w:val="28"/>
        </w:rPr>
        <w:t xml:space="preserve"> diseases of the CNS of various genesis (encephalopathy, vascular dementia, Alzheimer's disease, etc.).</w:t>
      </w:r>
    </w:p>
    <w:p w14:paraId="0E8981DC" w14:textId="6534B038"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A common pathogenetic feature in the formation of acute cerebral ischemia and neurodegenerative diseases of the CNS is the launch of glutamate-calcium cascade reactions. In the formation of this phenomenon, three consecutive links are distinguished - induction, amplification (development of glutamate excitotoxicity with subsequent avalanche-like entry of Ca2+ ions into neurons) and expression, during which oxidative stress is initiated. The morphological manifestation of the above-mentioned </w:t>
      </w:r>
      <w:proofErr w:type="spellStart"/>
      <w:r w:rsidRPr="0034040D">
        <w:rPr>
          <w:rFonts w:ascii="Times New Roman" w:hAnsi="Times New Roman" w:cs="Times New Roman"/>
          <w:sz w:val="28"/>
          <w:szCs w:val="28"/>
        </w:rPr>
        <w:t>pathobiochemical</w:t>
      </w:r>
      <w:proofErr w:type="spellEnd"/>
      <w:r w:rsidRPr="0034040D">
        <w:rPr>
          <w:rFonts w:ascii="Times New Roman" w:hAnsi="Times New Roman" w:cs="Times New Roman"/>
          <w:sz w:val="28"/>
          <w:szCs w:val="28"/>
        </w:rPr>
        <w:t xml:space="preserve"> changes in the nervous tissue is the formation of an ischemic focus (nucleus), where the necrotic type of neuronal death prevails due to the lack of blood supply. Around the nucleus, due to the minimal blood supply sufficient to activate </w:t>
      </w:r>
      <w:proofErr w:type="spellStart"/>
      <w:r w:rsidRPr="0034040D">
        <w:rPr>
          <w:rFonts w:ascii="Times New Roman" w:hAnsi="Times New Roman" w:cs="Times New Roman"/>
          <w:sz w:val="28"/>
          <w:szCs w:val="28"/>
        </w:rPr>
        <w:t>neuroapoptosis</w:t>
      </w:r>
      <w:proofErr w:type="spellEnd"/>
      <w:r w:rsidRPr="0034040D">
        <w:rPr>
          <w:rFonts w:ascii="Times New Roman" w:hAnsi="Times New Roman" w:cs="Times New Roman"/>
          <w:sz w:val="28"/>
          <w:szCs w:val="28"/>
        </w:rPr>
        <w:t xml:space="preserve">, an ischemic penumbra is formed. The changes that occur in the neurons of the penumbra zone, unlike the neurocytes of the nucleus, are potentially reversible to a certain extent, and the stage-by-stage and multi-vector nature of the mechanisms of neuronal destruction makes it possible to use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w:t>
      </w:r>
    </w:p>
    <w:p w14:paraId="3B8A272B" w14:textId="77777777"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Depending on the time, </w:t>
      </w:r>
      <w:proofErr w:type="spellStart"/>
      <w:r w:rsidRPr="0034040D">
        <w:rPr>
          <w:rFonts w:ascii="Times New Roman" w:hAnsi="Times New Roman" w:cs="Times New Roman"/>
          <w:sz w:val="28"/>
          <w:szCs w:val="28"/>
        </w:rPr>
        <w:t>cerebroprotective</w:t>
      </w:r>
      <w:proofErr w:type="spellEnd"/>
      <w:r w:rsidRPr="0034040D">
        <w:rPr>
          <w:rFonts w:ascii="Times New Roman" w:hAnsi="Times New Roman" w:cs="Times New Roman"/>
          <w:sz w:val="28"/>
          <w:szCs w:val="28"/>
        </w:rPr>
        <w:t xml:space="preserve"> therapy is divided into primary and secondary. The tasks of primary </w:t>
      </w:r>
      <w:proofErr w:type="spellStart"/>
      <w:r w:rsidRPr="0034040D">
        <w:rPr>
          <w:rFonts w:ascii="Times New Roman" w:hAnsi="Times New Roman" w:cs="Times New Roman"/>
          <w:sz w:val="28"/>
          <w:szCs w:val="28"/>
        </w:rPr>
        <w:t>cerebroprotection</w:t>
      </w:r>
      <w:proofErr w:type="spellEnd"/>
      <w:r w:rsidRPr="0034040D">
        <w:rPr>
          <w:rFonts w:ascii="Times New Roman" w:hAnsi="Times New Roman" w:cs="Times New Roman"/>
          <w:sz w:val="28"/>
          <w:szCs w:val="28"/>
        </w:rPr>
        <w:t xml:space="preserve"> are aimed, first of all, at interrupting the rapid reactions of the glutamate-calcium cascade, and in the case of ischemic stroke, at recanalization of the infarct-dependent vessel and/or improvement of the rheological properties of the blood, as well as prevention of repeated thrombosis. Primary </w:t>
      </w:r>
      <w:proofErr w:type="spellStart"/>
      <w:r w:rsidRPr="0034040D">
        <w:rPr>
          <w:rFonts w:ascii="Times New Roman" w:hAnsi="Times New Roman" w:cs="Times New Roman"/>
          <w:sz w:val="28"/>
          <w:szCs w:val="28"/>
        </w:rPr>
        <w:lastRenderedPageBreak/>
        <w:t>cerebroprotection</w:t>
      </w:r>
      <w:proofErr w:type="spellEnd"/>
      <w:r w:rsidRPr="0034040D">
        <w:rPr>
          <w:rFonts w:ascii="Times New Roman" w:hAnsi="Times New Roman" w:cs="Times New Roman"/>
          <w:sz w:val="28"/>
          <w:szCs w:val="28"/>
        </w:rPr>
        <w:t xml:space="preserve"> begins from the first minutes of ischemia and continues for the first 3 days.</w:t>
      </w:r>
    </w:p>
    <w:p w14:paraId="5D268E7D" w14:textId="1A657B9F" w:rsidR="0006215E" w:rsidRPr="0034040D" w:rsidRDefault="0006215E" w:rsidP="0006215E">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Secondary </w:t>
      </w:r>
      <w:proofErr w:type="spellStart"/>
      <w:r w:rsidRPr="0034040D">
        <w:rPr>
          <w:rFonts w:ascii="Times New Roman" w:hAnsi="Times New Roman" w:cs="Times New Roman"/>
          <w:sz w:val="28"/>
          <w:szCs w:val="28"/>
        </w:rPr>
        <w:t>cerebroprotection</w:t>
      </w:r>
      <w:proofErr w:type="spellEnd"/>
      <w:r w:rsidRPr="0034040D">
        <w:rPr>
          <w:rFonts w:ascii="Times New Roman" w:hAnsi="Times New Roman" w:cs="Times New Roman"/>
          <w:sz w:val="28"/>
          <w:szCs w:val="28"/>
        </w:rPr>
        <w:t xml:space="preserve"> is aimed at blocking pro-inflammatory cytokines, cell adhesion molecules, inhibiting pro-oxidant enzymes, restoring neurotrophy and interrupting apoptosis. This type of therapy begins 6–12 hours after the vascular catastrophe and continues for at least 7 days. Its effectiveness largely depends on timely recanalization (in ischemic stroke) and blockade of fast reactions of the glutamate-calcium cascade. In the late period of cerebral ischemia, the main task of secondary </w:t>
      </w:r>
      <w:proofErr w:type="spellStart"/>
      <w:r w:rsidRPr="0034040D">
        <w:rPr>
          <w:rFonts w:ascii="Times New Roman" w:hAnsi="Times New Roman" w:cs="Times New Roman"/>
          <w:sz w:val="28"/>
          <w:szCs w:val="28"/>
        </w:rPr>
        <w:t>cerebroprotection</w:t>
      </w:r>
      <w:proofErr w:type="spellEnd"/>
      <w:r w:rsidRPr="0034040D">
        <w:rPr>
          <w:rFonts w:ascii="Times New Roman" w:hAnsi="Times New Roman" w:cs="Times New Roman"/>
          <w:sz w:val="28"/>
          <w:szCs w:val="28"/>
        </w:rPr>
        <w:t xml:space="preserve"> is to modulate regenerative and reparative processes and restore impaired cognitive functions. According to the predominance of one or another mechanism of protective action on the ischemic brain,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are classified into: NMDA receptor blockers, antioxidants, </w:t>
      </w:r>
      <w:proofErr w:type="spellStart"/>
      <w:r w:rsidRPr="0034040D">
        <w:rPr>
          <w:rFonts w:ascii="Times New Roman" w:hAnsi="Times New Roman" w:cs="Times New Roman"/>
          <w:sz w:val="28"/>
          <w:szCs w:val="28"/>
        </w:rPr>
        <w:t>antihypoxants</w:t>
      </w:r>
      <w:proofErr w:type="spellEnd"/>
      <w:r w:rsidRPr="0034040D">
        <w:rPr>
          <w:rFonts w:ascii="Times New Roman" w:hAnsi="Times New Roman" w:cs="Times New Roman"/>
          <w:sz w:val="28"/>
          <w:szCs w:val="28"/>
        </w:rPr>
        <w:t>, vasoactive drugs, drugs of neurotrophic action, drugs that improve energy tissue metabolism (</w:t>
      </w:r>
      <w:proofErr w:type="spellStart"/>
      <w:r w:rsidRPr="0034040D">
        <w:rPr>
          <w:rFonts w:ascii="Times New Roman" w:hAnsi="Times New Roman" w:cs="Times New Roman"/>
          <w:sz w:val="28"/>
          <w:szCs w:val="28"/>
        </w:rPr>
        <w:t>metabolitotropic</w:t>
      </w:r>
      <w:proofErr w:type="spellEnd"/>
      <w:r w:rsidRPr="0034040D">
        <w:rPr>
          <w:rFonts w:ascii="Times New Roman" w:hAnsi="Times New Roman" w:cs="Times New Roman"/>
          <w:sz w:val="28"/>
          <w:szCs w:val="28"/>
        </w:rPr>
        <w:t xml:space="preserve"> neuroprotectors). Most representatives of the above classification do not have a selective effect on brain neurons, affecting the metabolism of various organs, and the </w:t>
      </w:r>
      <w:proofErr w:type="spellStart"/>
      <w:r w:rsidRPr="0034040D">
        <w:rPr>
          <w:rFonts w:ascii="Times New Roman" w:hAnsi="Times New Roman" w:cs="Times New Roman"/>
          <w:sz w:val="28"/>
          <w:szCs w:val="28"/>
        </w:rPr>
        <w:t>cerebroprotective</w:t>
      </w:r>
      <w:proofErr w:type="spellEnd"/>
      <w:r w:rsidRPr="0034040D">
        <w:rPr>
          <w:rFonts w:ascii="Times New Roman" w:hAnsi="Times New Roman" w:cs="Times New Roman"/>
          <w:sz w:val="28"/>
          <w:szCs w:val="28"/>
        </w:rPr>
        <w:t xml:space="preserve"> effect is a component of their cyto- and </w:t>
      </w:r>
      <w:proofErr w:type="spellStart"/>
      <w:r w:rsidRPr="0034040D">
        <w:rPr>
          <w:rFonts w:ascii="Times New Roman" w:hAnsi="Times New Roman" w:cs="Times New Roman"/>
          <w:sz w:val="28"/>
          <w:szCs w:val="28"/>
        </w:rPr>
        <w:t>organoprotective</w:t>
      </w:r>
      <w:proofErr w:type="spellEnd"/>
      <w:r w:rsidRPr="0034040D">
        <w:rPr>
          <w:rFonts w:ascii="Times New Roman" w:hAnsi="Times New Roman" w:cs="Times New Roman"/>
          <w:sz w:val="28"/>
          <w:szCs w:val="28"/>
        </w:rPr>
        <w:t xml:space="preserve"> properties.</w:t>
      </w:r>
    </w:p>
    <w:p w14:paraId="321F764D"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Therefore, according to clinical and functional features,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are classified into:</w:t>
      </w:r>
    </w:p>
    <w:p w14:paraId="7C0A2EB4"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a) drugs with a wide range of cytoprotective effects that have </w:t>
      </w:r>
      <w:proofErr w:type="spellStart"/>
      <w:r w:rsidRPr="0034040D">
        <w:rPr>
          <w:rFonts w:ascii="Times New Roman" w:hAnsi="Times New Roman" w:cs="Times New Roman"/>
          <w:sz w:val="28"/>
          <w:szCs w:val="28"/>
        </w:rPr>
        <w:t>cerebroprotective</w:t>
      </w:r>
      <w:proofErr w:type="spellEnd"/>
      <w:r w:rsidRPr="0034040D">
        <w:rPr>
          <w:rFonts w:ascii="Times New Roman" w:hAnsi="Times New Roman" w:cs="Times New Roman"/>
          <w:sz w:val="28"/>
          <w:szCs w:val="28"/>
        </w:rPr>
        <w:t xml:space="preserve"> properties (</w:t>
      </w:r>
      <w:proofErr w:type="spellStart"/>
      <w:r w:rsidRPr="0034040D">
        <w:rPr>
          <w:rFonts w:ascii="Times New Roman" w:hAnsi="Times New Roman" w:cs="Times New Roman"/>
          <w:sz w:val="28"/>
          <w:szCs w:val="28"/>
        </w:rPr>
        <w:t>antihypoxants</w:t>
      </w:r>
      <w:proofErr w:type="spellEnd"/>
      <w:r w:rsidRPr="0034040D">
        <w:rPr>
          <w:rFonts w:ascii="Times New Roman" w:hAnsi="Times New Roman" w:cs="Times New Roman"/>
          <w:sz w:val="28"/>
          <w:szCs w:val="28"/>
        </w:rPr>
        <w:t>, antioxidants);</w:t>
      </w:r>
    </w:p>
    <w:p w14:paraId="2DAE9B37"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b) drugs with a predominant effect on the brain: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with a wide spectrum of action without specific tropism to individual cerebral structures under the influence of various etiological factors and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with a selective effect on individual brain structures (cholinergic systems, glial cells, gray matter, etc.).</w:t>
      </w:r>
    </w:p>
    <w:p w14:paraId="1E854F25"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In primary </w:t>
      </w:r>
      <w:proofErr w:type="spellStart"/>
      <w:r w:rsidRPr="0034040D">
        <w:rPr>
          <w:rFonts w:ascii="Times New Roman" w:hAnsi="Times New Roman" w:cs="Times New Roman"/>
          <w:sz w:val="28"/>
          <w:szCs w:val="28"/>
        </w:rPr>
        <w:t>cerebroprotection</w:t>
      </w:r>
      <w:proofErr w:type="spellEnd"/>
      <w:r w:rsidRPr="0034040D">
        <w:rPr>
          <w:rFonts w:ascii="Times New Roman" w:hAnsi="Times New Roman" w:cs="Times New Roman"/>
          <w:sz w:val="28"/>
          <w:szCs w:val="28"/>
        </w:rPr>
        <w:t>, a new and promising direction is the search for substances that can prevent the increase in excitotoxicity due to complete or partial blockade of NMDA receptors. NMDA receptor antagonists reduce the flow of Ca2+ ions into the cell through agonist-dependent calcium channels. They limit the area of ​​</w:t>
      </w:r>
      <w:r w:rsidRPr="0034040D">
        <w:rPr>
          <w:rFonts w:ascii="Times New Roman" w:hAnsi="Times New Roman" w:cs="Times New Roman"/>
          <w:sz w:val="28"/>
          <w:szCs w:val="28"/>
        </w:rPr>
        <w:lastRenderedPageBreak/>
        <w:t>brain infarction, primarily by preserving the living zone of the ischemic penumbra. This process is implemented due to the blockade of the ischemic cascade, which leads to "calcium death" in neighboring cells.</w:t>
      </w:r>
    </w:p>
    <w:p w14:paraId="465EA676" w14:textId="7B3A00D3" w:rsidR="0006215E"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The result of this may be the transformation of the morphological type of neuronal death in the foci of ischemia from necrotic to a more "milder" apoptotic. Synchronously to such changes in the ischemic zone, penumbra and in areas with restored blood circulation, apoptosis is inhibited, which allows maintaining the normal </w:t>
      </w:r>
      <w:proofErr w:type="spellStart"/>
      <w:r w:rsidRPr="0034040D">
        <w:rPr>
          <w:rFonts w:ascii="Times New Roman" w:hAnsi="Times New Roman" w:cs="Times New Roman"/>
          <w:sz w:val="28"/>
          <w:szCs w:val="28"/>
        </w:rPr>
        <w:t>morphofunctional</w:t>
      </w:r>
      <w:proofErr w:type="spellEnd"/>
      <w:r w:rsidRPr="0034040D">
        <w:rPr>
          <w:rFonts w:ascii="Times New Roman" w:hAnsi="Times New Roman" w:cs="Times New Roman"/>
          <w:sz w:val="28"/>
          <w:szCs w:val="28"/>
        </w:rPr>
        <w:t xml:space="preserve"> state of neurons.</w:t>
      </w:r>
    </w:p>
    <w:p w14:paraId="2BFF4DB4" w14:textId="0F693BFB"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Drugs that affect NMDA-glutamate receptors are divided into competitive and non-competitive blockers. The first group includes </w:t>
      </w:r>
      <w:proofErr w:type="spellStart"/>
      <w:r w:rsidRPr="0034040D">
        <w:rPr>
          <w:rFonts w:ascii="Times New Roman" w:hAnsi="Times New Roman" w:cs="Times New Roman"/>
          <w:sz w:val="28"/>
          <w:szCs w:val="28"/>
        </w:rPr>
        <w:t>selfotel</w:t>
      </w:r>
      <w:proofErr w:type="spellEnd"/>
      <w:r w:rsidRPr="0034040D">
        <w:rPr>
          <w:rFonts w:ascii="Times New Roman" w:hAnsi="Times New Roman" w:cs="Times New Roman"/>
          <w:sz w:val="28"/>
          <w:szCs w:val="28"/>
        </w:rPr>
        <w:t xml:space="preserve">, the second - memantine, amantadine, ketamine, magnesium sulfate, </w:t>
      </w:r>
      <w:proofErr w:type="spellStart"/>
      <w:r w:rsidRPr="0034040D">
        <w:rPr>
          <w:rFonts w:ascii="Times New Roman" w:hAnsi="Times New Roman" w:cs="Times New Roman"/>
          <w:sz w:val="28"/>
          <w:szCs w:val="28"/>
        </w:rPr>
        <w:t>cerestat</w:t>
      </w:r>
      <w:proofErr w:type="spellEnd"/>
      <w:r w:rsidRPr="0034040D">
        <w:rPr>
          <w:rFonts w:ascii="Times New Roman" w:hAnsi="Times New Roman" w:cs="Times New Roman"/>
          <w:sz w:val="28"/>
          <w:szCs w:val="28"/>
        </w:rPr>
        <w:t xml:space="preserve">, phencyclidine. However, along with the therapeutic effect (limitation of the necrosis zone), most NMDA receptor antagonists (such as </w:t>
      </w:r>
      <w:proofErr w:type="spellStart"/>
      <w:r w:rsidRPr="0034040D">
        <w:rPr>
          <w:rFonts w:ascii="Times New Roman" w:hAnsi="Times New Roman" w:cs="Times New Roman"/>
          <w:sz w:val="28"/>
          <w:szCs w:val="28"/>
        </w:rPr>
        <w:t>selfotel</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cerestat</w:t>
      </w:r>
      <w:proofErr w:type="spellEnd"/>
      <w:r w:rsidRPr="0034040D">
        <w:rPr>
          <w:rFonts w:ascii="Times New Roman" w:hAnsi="Times New Roman" w:cs="Times New Roman"/>
          <w:sz w:val="28"/>
          <w:szCs w:val="28"/>
        </w:rPr>
        <w:t>) cause severe side effects (hallucinations, impaired consciousness, hyperkinesia, delirium, etc.), which led to the cessation of their clinical use. Since the physiological activity of NMDA receptors is necessary for the normal functioning of nervous tissue, clinical success in the treatment of acute cerebrovascular accidents can be achieved only under the conditions of using NMDA receptor antagonists that selectively reduce their excessive activation.</w:t>
      </w:r>
    </w:p>
    <w:p w14:paraId="6F9FDDA9"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Secondary </w:t>
      </w:r>
      <w:proofErr w:type="spellStart"/>
      <w:r w:rsidRPr="0034040D">
        <w:rPr>
          <w:rFonts w:ascii="Times New Roman" w:hAnsi="Times New Roman" w:cs="Times New Roman"/>
          <w:sz w:val="28"/>
          <w:szCs w:val="28"/>
        </w:rPr>
        <w:t>cerebroprotection</w:t>
      </w:r>
      <w:proofErr w:type="spellEnd"/>
      <w:r w:rsidRPr="0034040D">
        <w:rPr>
          <w:rFonts w:ascii="Times New Roman" w:hAnsi="Times New Roman" w:cs="Times New Roman"/>
          <w:sz w:val="28"/>
          <w:szCs w:val="28"/>
        </w:rPr>
        <w:t xml:space="preserve"> drugs include, first of all, </w:t>
      </w:r>
      <w:proofErr w:type="spellStart"/>
      <w:r w:rsidRPr="0034040D">
        <w:rPr>
          <w:rFonts w:ascii="Times New Roman" w:hAnsi="Times New Roman" w:cs="Times New Roman"/>
          <w:sz w:val="28"/>
          <w:szCs w:val="28"/>
        </w:rPr>
        <w:t>antihypoxants</w:t>
      </w:r>
      <w:proofErr w:type="spellEnd"/>
      <w:r w:rsidRPr="0034040D">
        <w:rPr>
          <w:rFonts w:ascii="Times New Roman" w:hAnsi="Times New Roman" w:cs="Times New Roman"/>
          <w:sz w:val="28"/>
          <w:szCs w:val="28"/>
        </w:rPr>
        <w:t xml:space="preserve"> and antioxidants (deproteinized calf blood hemoderivative, </w:t>
      </w:r>
      <w:proofErr w:type="spellStart"/>
      <w:r w:rsidRPr="0034040D">
        <w:rPr>
          <w:rFonts w:ascii="Times New Roman" w:hAnsi="Times New Roman" w:cs="Times New Roman"/>
          <w:sz w:val="28"/>
          <w:szCs w:val="28"/>
        </w:rPr>
        <w:t>mexidol</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emoxipin</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cytoflavin</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thiotriazolin</w:t>
      </w:r>
      <w:proofErr w:type="spellEnd"/>
      <w:r w:rsidRPr="0034040D">
        <w:rPr>
          <w:rFonts w:ascii="Times New Roman" w:hAnsi="Times New Roman" w:cs="Times New Roman"/>
          <w:sz w:val="28"/>
          <w:szCs w:val="28"/>
        </w:rPr>
        <w:t>), membrane protectors (citicoline), neuropeptides and neurotrophic factors (</w:t>
      </w:r>
      <w:proofErr w:type="spellStart"/>
      <w:r w:rsidRPr="0034040D">
        <w:rPr>
          <w:rFonts w:ascii="Times New Roman" w:hAnsi="Times New Roman" w:cs="Times New Roman"/>
          <w:sz w:val="28"/>
          <w:szCs w:val="28"/>
        </w:rPr>
        <w:t>cortexin</w:t>
      </w:r>
      <w:proofErr w:type="spellEnd"/>
      <w:r w:rsidRPr="0034040D">
        <w:rPr>
          <w:rFonts w:ascii="Times New Roman" w:hAnsi="Times New Roman" w:cs="Times New Roman"/>
          <w:sz w:val="28"/>
          <w:szCs w:val="28"/>
        </w:rPr>
        <w:t xml:space="preserve">, heptapeptide, </w:t>
      </w:r>
      <w:proofErr w:type="spellStart"/>
      <w:r w:rsidRPr="0034040D">
        <w:rPr>
          <w:rFonts w:ascii="Times New Roman" w:hAnsi="Times New Roman" w:cs="Times New Roman"/>
          <w:sz w:val="28"/>
          <w:szCs w:val="28"/>
        </w:rPr>
        <w:t>cerebrolysin</w:t>
      </w:r>
      <w:proofErr w:type="spellEnd"/>
      <w:r w:rsidRPr="0034040D">
        <w:rPr>
          <w:rFonts w:ascii="Times New Roman" w:hAnsi="Times New Roman" w:cs="Times New Roman"/>
          <w:sz w:val="28"/>
          <w:szCs w:val="28"/>
        </w:rPr>
        <w:t xml:space="preserve">), nootropics (piracetam, </w:t>
      </w:r>
      <w:proofErr w:type="spellStart"/>
      <w:r w:rsidRPr="0034040D">
        <w:rPr>
          <w:rFonts w:ascii="Times New Roman" w:hAnsi="Times New Roman" w:cs="Times New Roman"/>
          <w:sz w:val="28"/>
          <w:szCs w:val="28"/>
        </w:rPr>
        <w:t>phenibut</w:t>
      </w:r>
      <w:proofErr w:type="spellEnd"/>
      <w:r w:rsidRPr="0034040D">
        <w:rPr>
          <w:rFonts w:ascii="Times New Roman" w:hAnsi="Times New Roman" w:cs="Times New Roman"/>
          <w:sz w:val="28"/>
          <w:szCs w:val="28"/>
        </w:rPr>
        <w:t>). A promising T. is a recombinant interleukin-1 receptor antagonist.</w:t>
      </w:r>
    </w:p>
    <w:p w14:paraId="43D783EE" w14:textId="63078B70"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According to the concept of the pathogenesis of destructive changes in neurons, where hypoxia and oxidative stress play a major role, </w:t>
      </w:r>
      <w:proofErr w:type="spellStart"/>
      <w:r w:rsidRPr="0034040D">
        <w:rPr>
          <w:rFonts w:ascii="Times New Roman" w:hAnsi="Times New Roman" w:cs="Times New Roman"/>
          <w:sz w:val="28"/>
          <w:szCs w:val="28"/>
        </w:rPr>
        <w:t>antihypoxants</w:t>
      </w:r>
      <w:proofErr w:type="spellEnd"/>
      <w:r w:rsidRPr="0034040D">
        <w:rPr>
          <w:rFonts w:ascii="Times New Roman" w:hAnsi="Times New Roman" w:cs="Times New Roman"/>
          <w:sz w:val="28"/>
          <w:szCs w:val="28"/>
        </w:rPr>
        <w:t xml:space="preserve"> and antioxidants (scavengers) have found wide application in the therapy of acute cerebral ischemia. Their protective effect on ischemic neurons is realized by inhibiting the production of free radicals, lipid peroxidation and oxidative modification of proteins, and restoring </w:t>
      </w:r>
      <w:r w:rsidRPr="0034040D">
        <w:rPr>
          <w:rFonts w:ascii="Times New Roman" w:hAnsi="Times New Roman" w:cs="Times New Roman"/>
          <w:sz w:val="28"/>
          <w:szCs w:val="28"/>
        </w:rPr>
        <w:lastRenderedPageBreak/>
        <w:t xml:space="preserve">the activity of the antioxidant system. A typical representative of secondary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with predominantly membrane-protective properties is citicoline, which is a precursor of phosphatidylcholine and a structural component of neuronal membranes. Citicoline reduces the level of arachidonic acid in the ischemic area of ​​the brain, the expression of proapoptotic genes, controls the functioning of Na+-, K+-ATPase, which allows reducing edema and the focus of ischemic damage, and stimulates the synthesis of structural phospholipids of neuronal membranes. Due to these properties, citicoline improves the functioning of membrane structures - ion pumps and receptors, without which the conduction of nerve impulses is impossible. Citicoline also enhances cholinergic transmission in the CNS. Given the leading role of insufficient trophic supply in the mechanisms of damage to nervous tissue, reparative therapy with neuropeptide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in conditions of cerebral circulatory disorders becomes important starting from the first days of ischemia.</w:t>
      </w:r>
    </w:p>
    <w:p w14:paraId="269CE8B4"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Neuropeptides are the main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used for the treatment of chronic cerebrovascular insufficiency and </w:t>
      </w:r>
      <w:proofErr w:type="spellStart"/>
      <w:r w:rsidRPr="0034040D">
        <w:rPr>
          <w:rFonts w:ascii="Times New Roman" w:hAnsi="Times New Roman" w:cs="Times New Roman"/>
          <w:sz w:val="28"/>
          <w:szCs w:val="28"/>
        </w:rPr>
        <w:t>neurodestructive</w:t>
      </w:r>
      <w:proofErr w:type="spellEnd"/>
      <w:r w:rsidRPr="0034040D">
        <w:rPr>
          <w:rFonts w:ascii="Times New Roman" w:hAnsi="Times New Roman" w:cs="Times New Roman"/>
          <w:sz w:val="28"/>
          <w:szCs w:val="28"/>
        </w:rPr>
        <w:t xml:space="preserve"> diseases of various genesis (encephalopathy, Alzheimer's disease, etc.). The characteristic features of neuropeptides are high efficiency at low doses, rapid onset of effect. Their use allows creating a favorable background for more effective complex treatment of degenerative diseases of the CNS. Neuropeptide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cerebrolysin</w:t>
      </w:r>
      <w:proofErr w:type="spellEnd"/>
      <w:r w:rsidRPr="0034040D">
        <w:rPr>
          <w:rFonts w:ascii="Times New Roman" w:hAnsi="Times New Roman" w:cs="Times New Roman"/>
          <w:sz w:val="28"/>
          <w:szCs w:val="28"/>
        </w:rPr>
        <w:t xml:space="preserve">, </w:t>
      </w:r>
      <w:proofErr w:type="spellStart"/>
      <w:r w:rsidRPr="0034040D">
        <w:rPr>
          <w:rFonts w:ascii="Times New Roman" w:hAnsi="Times New Roman" w:cs="Times New Roman"/>
          <w:sz w:val="28"/>
          <w:szCs w:val="28"/>
        </w:rPr>
        <w:t>cortexin</w:t>
      </w:r>
      <w:proofErr w:type="spellEnd"/>
      <w:r w:rsidRPr="0034040D">
        <w:rPr>
          <w:rFonts w:ascii="Times New Roman" w:hAnsi="Times New Roman" w:cs="Times New Roman"/>
          <w:sz w:val="28"/>
          <w:szCs w:val="28"/>
        </w:rPr>
        <w:t>, heptapeptide, a complex of embryonic peptides and oligopeptides, etc.) are widely used in patients with cerebral insufficiency.</w:t>
      </w:r>
    </w:p>
    <w:p w14:paraId="639B7CC8" w14:textId="6C97FEAE"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Representatives of secondary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are nootropic drugs that have a direct activating effect on learning, memory and mental activity. Cognitive and memory impairment is a direct consequence of acute cerebral ischemia and a natural outcome in the formation of chronic cerebral insufficiency, and drugs of this group of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are widely used in vascular dementia, Alzheimer's disease, and intellectual disorders of various genesis in children. There is no unequivocal opinion regarding the appropriateness of prescribing nootropics, for example, piracetam, in the </w:t>
      </w:r>
      <w:r w:rsidRPr="0034040D">
        <w:rPr>
          <w:rFonts w:ascii="Times New Roman" w:hAnsi="Times New Roman" w:cs="Times New Roman"/>
          <w:sz w:val="28"/>
          <w:szCs w:val="28"/>
        </w:rPr>
        <w:lastRenderedPageBreak/>
        <w:t>acute period of stroke and traumatic brain injury, accompanied by loss of consciousness. A comatose state, regardless of the depth of cerebral insufficiency, is a contraindication to the appointment of nootropics, since they, due to their stimulating effect, disinhibit subcortical structures, cause psychomotor agitation or seizures, further depressing the cortex.</w:t>
      </w:r>
    </w:p>
    <w:p w14:paraId="0A10E682" w14:textId="77777777"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In Alzheimer's disease, anticholinesterase drugs (galantamine, donepezil, rivastigmine), which enhance cholinergic transmission, and the already mentioned NMDA receptor antagonist memantine, which weakens glutamate excitotoxicity, have a </w:t>
      </w:r>
      <w:proofErr w:type="spellStart"/>
      <w:r w:rsidRPr="0034040D">
        <w:rPr>
          <w:rFonts w:ascii="Times New Roman" w:hAnsi="Times New Roman" w:cs="Times New Roman"/>
          <w:sz w:val="28"/>
          <w:szCs w:val="28"/>
        </w:rPr>
        <w:t>cerebroprotective</w:t>
      </w:r>
      <w:proofErr w:type="spellEnd"/>
      <w:r w:rsidRPr="0034040D">
        <w:rPr>
          <w:rFonts w:ascii="Times New Roman" w:hAnsi="Times New Roman" w:cs="Times New Roman"/>
          <w:sz w:val="28"/>
          <w:szCs w:val="28"/>
        </w:rPr>
        <w:t xml:space="preserve"> effect. The latter drug is also an effective </w:t>
      </w:r>
      <w:proofErr w:type="spellStart"/>
      <w:r w:rsidRPr="0034040D">
        <w:rPr>
          <w:rFonts w:ascii="Times New Roman" w:hAnsi="Times New Roman" w:cs="Times New Roman"/>
          <w:sz w:val="28"/>
          <w:szCs w:val="28"/>
        </w:rPr>
        <w:t>cerebroprotector</w:t>
      </w:r>
      <w:proofErr w:type="spellEnd"/>
      <w:r w:rsidRPr="0034040D">
        <w:rPr>
          <w:rFonts w:ascii="Times New Roman" w:hAnsi="Times New Roman" w:cs="Times New Roman"/>
          <w:sz w:val="28"/>
          <w:szCs w:val="28"/>
        </w:rPr>
        <w:t xml:space="preserve"> in parkinsonism.</w:t>
      </w:r>
    </w:p>
    <w:p w14:paraId="3E95E4EE" w14:textId="4567C9AA" w:rsidR="001861C3" w:rsidRPr="0034040D" w:rsidRDefault="001861C3" w:rsidP="001861C3">
      <w:pPr>
        <w:spacing w:after="0" w:line="360" w:lineRule="auto"/>
        <w:ind w:firstLine="720"/>
        <w:jc w:val="both"/>
        <w:rPr>
          <w:rFonts w:ascii="Times New Roman" w:hAnsi="Times New Roman" w:cs="Times New Roman"/>
          <w:sz w:val="28"/>
          <w:szCs w:val="28"/>
        </w:rPr>
      </w:pPr>
      <w:r w:rsidRPr="0034040D">
        <w:rPr>
          <w:rFonts w:ascii="Times New Roman" w:hAnsi="Times New Roman" w:cs="Times New Roman"/>
          <w:sz w:val="28"/>
          <w:szCs w:val="28"/>
        </w:rPr>
        <w:t xml:space="preserve">An ideal drug that would exhibit equally powerful properties of primary and secondary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with proven high efficacy in conditions of acute ischemia and chronic cerebral insufficiency with minimal side effects, does not exist today. A promising direction in the development of new </w:t>
      </w:r>
      <w:proofErr w:type="spellStart"/>
      <w:r w:rsidRPr="0034040D">
        <w:rPr>
          <w:rFonts w:ascii="Times New Roman" w:hAnsi="Times New Roman" w:cs="Times New Roman"/>
          <w:sz w:val="28"/>
          <w:szCs w:val="28"/>
        </w:rPr>
        <w:t>cerebroprotectors</w:t>
      </w:r>
      <w:proofErr w:type="spellEnd"/>
      <w:r w:rsidRPr="0034040D">
        <w:rPr>
          <w:rFonts w:ascii="Times New Roman" w:hAnsi="Times New Roman" w:cs="Times New Roman"/>
          <w:sz w:val="28"/>
          <w:szCs w:val="28"/>
        </w:rPr>
        <w:t xml:space="preserve"> is the creation of drugs with polytropic pharmacological effects.</w:t>
      </w:r>
    </w:p>
    <w:p w14:paraId="00437547" w14:textId="77777777" w:rsidR="001861C3" w:rsidRPr="0034040D" w:rsidRDefault="001861C3" w:rsidP="001861C3">
      <w:pPr>
        <w:spacing w:after="0" w:line="360" w:lineRule="auto"/>
        <w:ind w:firstLine="720"/>
        <w:jc w:val="both"/>
        <w:rPr>
          <w:rFonts w:ascii="Times New Roman" w:hAnsi="Times New Roman" w:cs="Times New Roman"/>
          <w:sz w:val="28"/>
          <w:szCs w:val="28"/>
        </w:rPr>
      </w:pPr>
    </w:p>
    <w:p w14:paraId="7F89B2EF" w14:textId="77777777" w:rsidR="001861C3" w:rsidRPr="0034040D" w:rsidRDefault="001861C3" w:rsidP="001861C3">
      <w:pPr>
        <w:spacing w:after="0" w:line="360" w:lineRule="auto"/>
        <w:ind w:firstLine="720"/>
        <w:jc w:val="center"/>
        <w:rPr>
          <w:rFonts w:ascii="Times New Roman" w:hAnsi="Times New Roman" w:cs="Times New Roman"/>
          <w:b/>
          <w:bCs/>
          <w:sz w:val="28"/>
          <w:szCs w:val="28"/>
        </w:rPr>
      </w:pPr>
      <w:r w:rsidRPr="0034040D">
        <w:rPr>
          <w:rFonts w:ascii="Times New Roman" w:hAnsi="Times New Roman" w:cs="Times New Roman"/>
          <w:b/>
          <w:bCs/>
          <w:sz w:val="28"/>
          <w:szCs w:val="28"/>
        </w:rPr>
        <w:t>Literature sources</w:t>
      </w:r>
    </w:p>
    <w:p w14:paraId="60A26539" w14:textId="77777777" w:rsidR="001861C3" w:rsidRPr="0034040D" w:rsidRDefault="001861C3" w:rsidP="001861C3">
      <w:pPr>
        <w:spacing w:after="0" w:line="360" w:lineRule="auto"/>
        <w:ind w:firstLine="720"/>
        <w:jc w:val="both"/>
        <w:rPr>
          <w:rFonts w:ascii="Times New Roman" w:hAnsi="Times New Roman" w:cs="Times New Roman"/>
          <w:sz w:val="28"/>
          <w:szCs w:val="28"/>
        </w:rPr>
      </w:pPr>
    </w:p>
    <w:p w14:paraId="6B5E6FB9"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1. Clinical pharmacology: Textbook for medical universities of the IV level of accreditation. – 2nd ed. revised and supplemented / Edited by </w:t>
      </w:r>
      <w:proofErr w:type="spellStart"/>
      <w:r w:rsidRPr="0034040D">
        <w:rPr>
          <w:rFonts w:ascii="Times New Roman" w:hAnsi="Times New Roman" w:cs="Times New Roman"/>
          <w:sz w:val="28"/>
          <w:szCs w:val="28"/>
        </w:rPr>
        <w:t>O.Ya</w:t>
      </w:r>
      <w:proofErr w:type="spellEnd"/>
      <w:r w:rsidRPr="0034040D">
        <w:rPr>
          <w:rFonts w:ascii="Times New Roman" w:hAnsi="Times New Roman" w:cs="Times New Roman"/>
          <w:sz w:val="28"/>
          <w:szCs w:val="28"/>
        </w:rPr>
        <w:t>. Babak, O.M. Bilovol. K., 2010. 776 p.</w:t>
      </w:r>
    </w:p>
    <w:p w14:paraId="20F0FBC7"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2. Clinical pharmacology / Edited by prof. M.I. </w:t>
      </w:r>
      <w:proofErr w:type="spellStart"/>
      <w:r w:rsidRPr="0034040D">
        <w:rPr>
          <w:rFonts w:ascii="Times New Roman" w:hAnsi="Times New Roman" w:cs="Times New Roman"/>
          <w:sz w:val="28"/>
          <w:szCs w:val="28"/>
        </w:rPr>
        <w:t>Yabluchansky</w:t>
      </w:r>
      <w:proofErr w:type="spellEnd"/>
      <w:r w:rsidRPr="0034040D">
        <w:rPr>
          <w:rFonts w:ascii="Times New Roman" w:hAnsi="Times New Roman" w:cs="Times New Roman"/>
          <w:sz w:val="28"/>
          <w:szCs w:val="28"/>
        </w:rPr>
        <w:t>, prof. V.M. Savchenko. Kharkiv, 2011. 406 p.</w:t>
      </w:r>
    </w:p>
    <w:p w14:paraId="57F7C69A"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3. Clinical pharmacology: manual / </w:t>
      </w:r>
      <w:proofErr w:type="spellStart"/>
      <w:r w:rsidRPr="0034040D">
        <w:rPr>
          <w:rFonts w:ascii="Times New Roman" w:hAnsi="Times New Roman" w:cs="Times New Roman"/>
          <w:sz w:val="28"/>
          <w:szCs w:val="28"/>
        </w:rPr>
        <w:t>Shorikov</w:t>
      </w:r>
      <w:proofErr w:type="spellEnd"/>
      <w:r w:rsidRPr="0034040D">
        <w:rPr>
          <w:rFonts w:ascii="Times New Roman" w:hAnsi="Times New Roman" w:cs="Times New Roman"/>
          <w:sz w:val="28"/>
          <w:szCs w:val="28"/>
        </w:rPr>
        <w:t xml:space="preserve"> E.I., </w:t>
      </w:r>
      <w:proofErr w:type="spellStart"/>
      <w:r w:rsidRPr="0034040D">
        <w:rPr>
          <w:rFonts w:ascii="Times New Roman" w:hAnsi="Times New Roman" w:cs="Times New Roman"/>
          <w:sz w:val="28"/>
          <w:szCs w:val="28"/>
        </w:rPr>
        <w:t>Shumko</w:t>
      </w:r>
      <w:proofErr w:type="spellEnd"/>
      <w:r w:rsidRPr="0034040D">
        <w:rPr>
          <w:rFonts w:ascii="Times New Roman" w:hAnsi="Times New Roman" w:cs="Times New Roman"/>
          <w:sz w:val="28"/>
          <w:szCs w:val="28"/>
        </w:rPr>
        <w:t xml:space="preserve"> G.I., </w:t>
      </w:r>
      <w:proofErr w:type="spellStart"/>
      <w:r w:rsidRPr="0034040D">
        <w:rPr>
          <w:rFonts w:ascii="Times New Roman" w:hAnsi="Times New Roman" w:cs="Times New Roman"/>
          <w:sz w:val="28"/>
          <w:szCs w:val="28"/>
        </w:rPr>
        <w:t>Khukhlina</w:t>
      </w:r>
      <w:proofErr w:type="spellEnd"/>
      <w:r w:rsidRPr="0034040D">
        <w:rPr>
          <w:rFonts w:ascii="Times New Roman" w:hAnsi="Times New Roman" w:cs="Times New Roman"/>
          <w:sz w:val="28"/>
          <w:szCs w:val="28"/>
        </w:rPr>
        <w:t xml:space="preserve"> O.S. et al. – Vinnytsia: Nova </w:t>
      </w:r>
      <w:proofErr w:type="spellStart"/>
      <w:r w:rsidRPr="0034040D">
        <w:rPr>
          <w:rFonts w:ascii="Times New Roman" w:hAnsi="Times New Roman" w:cs="Times New Roman"/>
          <w:sz w:val="28"/>
          <w:szCs w:val="28"/>
        </w:rPr>
        <w:t>Kniga</w:t>
      </w:r>
      <w:proofErr w:type="spellEnd"/>
      <w:r w:rsidRPr="0034040D">
        <w:rPr>
          <w:rFonts w:ascii="Times New Roman" w:hAnsi="Times New Roman" w:cs="Times New Roman"/>
          <w:sz w:val="28"/>
          <w:szCs w:val="28"/>
        </w:rPr>
        <w:t>, 2019. 512 p.</w:t>
      </w:r>
    </w:p>
    <w:p w14:paraId="578ADC75"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4. Clinical pharmacology: teaching manual / Samura B.B., </w:t>
      </w:r>
      <w:proofErr w:type="spellStart"/>
      <w:r w:rsidRPr="0034040D">
        <w:rPr>
          <w:rFonts w:ascii="Times New Roman" w:hAnsi="Times New Roman" w:cs="Times New Roman"/>
          <w:sz w:val="28"/>
          <w:szCs w:val="28"/>
        </w:rPr>
        <w:t>Kraydashenko</w:t>
      </w:r>
      <w:proofErr w:type="spellEnd"/>
      <w:r w:rsidRPr="0034040D">
        <w:rPr>
          <w:rFonts w:ascii="Times New Roman" w:hAnsi="Times New Roman" w:cs="Times New Roman"/>
          <w:sz w:val="28"/>
          <w:szCs w:val="28"/>
        </w:rPr>
        <w:t xml:space="preserve"> O.V., Samura B.A. et al. 3rd ed., revised. Vinnytsia: Nova </w:t>
      </w:r>
      <w:proofErr w:type="spellStart"/>
      <w:r w:rsidRPr="0034040D">
        <w:rPr>
          <w:rFonts w:ascii="Times New Roman" w:hAnsi="Times New Roman" w:cs="Times New Roman"/>
          <w:sz w:val="28"/>
          <w:szCs w:val="28"/>
        </w:rPr>
        <w:t>Kniga</w:t>
      </w:r>
      <w:proofErr w:type="spellEnd"/>
      <w:r w:rsidRPr="0034040D">
        <w:rPr>
          <w:rFonts w:ascii="Times New Roman" w:hAnsi="Times New Roman" w:cs="Times New Roman"/>
          <w:sz w:val="28"/>
          <w:szCs w:val="28"/>
        </w:rPr>
        <w:t>, 2019. 232 p.</w:t>
      </w:r>
    </w:p>
    <w:p w14:paraId="05385E88"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lastRenderedPageBreak/>
        <w:t xml:space="preserve">5. Clinical pharmacology: textbook / ed. </w:t>
      </w:r>
      <w:proofErr w:type="spellStart"/>
      <w:r w:rsidRPr="0034040D">
        <w:rPr>
          <w:rFonts w:ascii="Times New Roman" w:hAnsi="Times New Roman" w:cs="Times New Roman"/>
          <w:sz w:val="28"/>
          <w:szCs w:val="28"/>
        </w:rPr>
        <w:t>O.</w:t>
      </w:r>
      <w:proofErr w:type="gramStart"/>
      <w:r w:rsidRPr="0034040D">
        <w:rPr>
          <w:rFonts w:ascii="Times New Roman" w:hAnsi="Times New Roman" w:cs="Times New Roman"/>
          <w:sz w:val="28"/>
          <w:szCs w:val="28"/>
        </w:rPr>
        <w:t>M.Bilovola</w:t>
      </w:r>
      <w:proofErr w:type="spellEnd"/>
      <w:proofErr w:type="gramEnd"/>
      <w:r w:rsidRPr="0034040D">
        <w:rPr>
          <w:rFonts w:ascii="Times New Roman" w:hAnsi="Times New Roman" w:cs="Times New Roman"/>
          <w:sz w:val="28"/>
          <w:szCs w:val="28"/>
        </w:rPr>
        <w:t xml:space="preserve">. Vinnytsia: Nova </w:t>
      </w:r>
      <w:proofErr w:type="spellStart"/>
      <w:r w:rsidRPr="0034040D">
        <w:rPr>
          <w:rFonts w:ascii="Times New Roman" w:hAnsi="Times New Roman" w:cs="Times New Roman"/>
          <w:sz w:val="28"/>
          <w:szCs w:val="28"/>
        </w:rPr>
        <w:t>Kniga</w:t>
      </w:r>
      <w:proofErr w:type="spellEnd"/>
      <w:r w:rsidRPr="0034040D">
        <w:rPr>
          <w:rFonts w:ascii="Times New Roman" w:hAnsi="Times New Roman" w:cs="Times New Roman"/>
          <w:sz w:val="28"/>
          <w:szCs w:val="28"/>
        </w:rPr>
        <w:t>, 2021. 544 p.</w:t>
      </w:r>
    </w:p>
    <w:p w14:paraId="5E8F3BB4"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6. Pharmacology: textbook for students of medical faculties / </w:t>
      </w:r>
      <w:proofErr w:type="spellStart"/>
      <w:r w:rsidRPr="0034040D">
        <w:rPr>
          <w:rFonts w:ascii="Times New Roman" w:hAnsi="Times New Roman" w:cs="Times New Roman"/>
          <w:sz w:val="28"/>
          <w:szCs w:val="28"/>
        </w:rPr>
        <w:t>Chekman</w:t>
      </w:r>
      <w:proofErr w:type="spellEnd"/>
      <w:r w:rsidRPr="0034040D">
        <w:rPr>
          <w:rFonts w:ascii="Times New Roman" w:hAnsi="Times New Roman" w:cs="Times New Roman"/>
          <w:sz w:val="28"/>
          <w:szCs w:val="28"/>
        </w:rPr>
        <w:t xml:space="preserve"> I.S., </w:t>
      </w:r>
      <w:proofErr w:type="spellStart"/>
      <w:r w:rsidRPr="0034040D">
        <w:rPr>
          <w:rFonts w:ascii="Times New Roman" w:hAnsi="Times New Roman" w:cs="Times New Roman"/>
          <w:sz w:val="28"/>
          <w:szCs w:val="28"/>
        </w:rPr>
        <w:t>Gorchakova</w:t>
      </w:r>
      <w:proofErr w:type="spellEnd"/>
      <w:r w:rsidRPr="0034040D">
        <w:rPr>
          <w:rFonts w:ascii="Times New Roman" w:hAnsi="Times New Roman" w:cs="Times New Roman"/>
          <w:sz w:val="28"/>
          <w:szCs w:val="28"/>
        </w:rPr>
        <w:t xml:space="preserve"> N.O., Kazak L.I. [et al.]; edited by prof. </w:t>
      </w:r>
      <w:proofErr w:type="spellStart"/>
      <w:r w:rsidRPr="0034040D">
        <w:rPr>
          <w:rFonts w:ascii="Times New Roman" w:hAnsi="Times New Roman" w:cs="Times New Roman"/>
          <w:sz w:val="28"/>
          <w:szCs w:val="28"/>
        </w:rPr>
        <w:t>I.</w:t>
      </w:r>
      <w:proofErr w:type="gramStart"/>
      <w:r w:rsidRPr="0034040D">
        <w:rPr>
          <w:rFonts w:ascii="Times New Roman" w:hAnsi="Times New Roman" w:cs="Times New Roman"/>
          <w:sz w:val="28"/>
          <w:szCs w:val="28"/>
        </w:rPr>
        <w:t>S.Chekman</w:t>
      </w:r>
      <w:proofErr w:type="spellEnd"/>
      <w:proofErr w:type="gramEnd"/>
      <w:r w:rsidRPr="0034040D">
        <w:rPr>
          <w:rFonts w:ascii="Times New Roman" w:hAnsi="Times New Roman" w:cs="Times New Roman"/>
          <w:sz w:val="28"/>
          <w:szCs w:val="28"/>
        </w:rPr>
        <w:t xml:space="preserve">. 4th ed. Vinnytsia: Nova </w:t>
      </w:r>
      <w:proofErr w:type="spellStart"/>
      <w:r w:rsidRPr="0034040D">
        <w:rPr>
          <w:rFonts w:ascii="Times New Roman" w:hAnsi="Times New Roman" w:cs="Times New Roman"/>
          <w:sz w:val="28"/>
          <w:szCs w:val="28"/>
        </w:rPr>
        <w:t>Kniga</w:t>
      </w:r>
      <w:proofErr w:type="spellEnd"/>
      <w:r w:rsidRPr="0034040D">
        <w:rPr>
          <w:rFonts w:ascii="Times New Roman" w:hAnsi="Times New Roman" w:cs="Times New Roman"/>
          <w:sz w:val="28"/>
          <w:szCs w:val="28"/>
        </w:rPr>
        <w:t>, 2017. 784 p.</w:t>
      </w:r>
    </w:p>
    <w:p w14:paraId="37F2605A"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7. Pharmacology in drawings and diagrams / </w:t>
      </w:r>
      <w:proofErr w:type="spellStart"/>
      <w:r w:rsidRPr="0034040D">
        <w:rPr>
          <w:rFonts w:ascii="Times New Roman" w:hAnsi="Times New Roman" w:cs="Times New Roman"/>
          <w:sz w:val="28"/>
          <w:szCs w:val="28"/>
        </w:rPr>
        <w:t>V.</w:t>
      </w:r>
      <w:proofErr w:type="gramStart"/>
      <w:r w:rsidRPr="0034040D">
        <w:rPr>
          <w:rFonts w:ascii="Times New Roman" w:hAnsi="Times New Roman" w:cs="Times New Roman"/>
          <w:sz w:val="28"/>
          <w:szCs w:val="28"/>
        </w:rPr>
        <w:t>V.Godovan</w:t>
      </w:r>
      <w:proofErr w:type="spellEnd"/>
      <w:proofErr w:type="gramEnd"/>
      <w:r w:rsidRPr="0034040D">
        <w:rPr>
          <w:rFonts w:ascii="Times New Roman" w:hAnsi="Times New Roman" w:cs="Times New Roman"/>
          <w:sz w:val="28"/>
          <w:szCs w:val="28"/>
        </w:rPr>
        <w:t xml:space="preserve">; ed. </w:t>
      </w:r>
      <w:proofErr w:type="spellStart"/>
      <w:r w:rsidRPr="0034040D">
        <w:rPr>
          <w:rFonts w:ascii="Times New Roman" w:hAnsi="Times New Roman" w:cs="Times New Roman"/>
          <w:sz w:val="28"/>
          <w:szCs w:val="28"/>
        </w:rPr>
        <w:t>V.Y.Kresiun</w:t>
      </w:r>
      <w:proofErr w:type="spellEnd"/>
      <w:r w:rsidRPr="0034040D">
        <w:rPr>
          <w:rFonts w:ascii="Times New Roman" w:hAnsi="Times New Roman" w:cs="Times New Roman"/>
          <w:sz w:val="28"/>
          <w:szCs w:val="28"/>
        </w:rPr>
        <w:t xml:space="preserve">. – Vinnytsia: Nova </w:t>
      </w:r>
      <w:proofErr w:type="spellStart"/>
      <w:r w:rsidRPr="0034040D">
        <w:rPr>
          <w:rFonts w:ascii="Times New Roman" w:hAnsi="Times New Roman" w:cs="Times New Roman"/>
          <w:sz w:val="28"/>
          <w:szCs w:val="28"/>
        </w:rPr>
        <w:t>Kniga</w:t>
      </w:r>
      <w:proofErr w:type="spellEnd"/>
      <w:r w:rsidRPr="0034040D">
        <w:rPr>
          <w:rFonts w:ascii="Times New Roman" w:hAnsi="Times New Roman" w:cs="Times New Roman"/>
          <w:sz w:val="28"/>
          <w:szCs w:val="28"/>
        </w:rPr>
        <w:t>. 2019. – 464 p.</w:t>
      </w:r>
    </w:p>
    <w:p w14:paraId="68672F1D"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8. Betram G Katzung Basic and Clinical Pharmacology, 14th Edition. - McGraw-Hill Medical, 2018. 1235 p.</w:t>
      </w:r>
    </w:p>
    <w:p w14:paraId="5987643E"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9. </w:t>
      </w:r>
      <w:proofErr w:type="spellStart"/>
      <w:r w:rsidRPr="0034040D">
        <w:rPr>
          <w:rFonts w:ascii="Times New Roman" w:hAnsi="Times New Roman" w:cs="Times New Roman"/>
          <w:sz w:val="28"/>
          <w:szCs w:val="28"/>
        </w:rPr>
        <w:t>T.</w:t>
      </w:r>
      <w:proofErr w:type="gramStart"/>
      <w:r w:rsidRPr="0034040D">
        <w:rPr>
          <w:rFonts w:ascii="Times New Roman" w:hAnsi="Times New Roman" w:cs="Times New Roman"/>
          <w:sz w:val="28"/>
          <w:szCs w:val="28"/>
        </w:rPr>
        <w:t>A.Andreev</w:t>
      </w:r>
      <w:proofErr w:type="spellEnd"/>
      <w:proofErr w:type="gramEnd"/>
      <w:r w:rsidRPr="0034040D">
        <w:rPr>
          <w:rFonts w:ascii="Times New Roman" w:hAnsi="Times New Roman" w:cs="Times New Roman"/>
          <w:sz w:val="28"/>
          <w:szCs w:val="28"/>
        </w:rPr>
        <w:t>. Vascular diseases of the brain. Vascular diseases of the brain. 2007. No. 2. P.24-27.</w:t>
      </w:r>
    </w:p>
    <w:p w14:paraId="3A1D9044"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10. </w:t>
      </w:r>
      <w:proofErr w:type="spellStart"/>
      <w:r w:rsidRPr="0034040D">
        <w:rPr>
          <w:rFonts w:ascii="Times New Roman" w:hAnsi="Times New Roman" w:cs="Times New Roman"/>
          <w:sz w:val="28"/>
          <w:szCs w:val="28"/>
        </w:rPr>
        <w:t>Vinnychuk</w:t>
      </w:r>
      <w:proofErr w:type="spellEnd"/>
      <w:r w:rsidRPr="0034040D">
        <w:rPr>
          <w:rFonts w:ascii="Times New Roman" w:hAnsi="Times New Roman" w:cs="Times New Roman"/>
          <w:sz w:val="28"/>
          <w:szCs w:val="28"/>
        </w:rPr>
        <w:t xml:space="preserve"> S.M., </w:t>
      </w:r>
      <w:proofErr w:type="spellStart"/>
      <w:r w:rsidRPr="0034040D">
        <w:rPr>
          <w:rFonts w:ascii="Times New Roman" w:hAnsi="Times New Roman" w:cs="Times New Roman"/>
          <w:sz w:val="28"/>
          <w:szCs w:val="28"/>
        </w:rPr>
        <w:t>Prokopiv</w:t>
      </w:r>
      <w:proofErr w:type="spellEnd"/>
      <w:r w:rsidRPr="0034040D">
        <w:rPr>
          <w:rFonts w:ascii="Times New Roman" w:hAnsi="Times New Roman" w:cs="Times New Roman"/>
          <w:sz w:val="28"/>
          <w:szCs w:val="28"/>
        </w:rPr>
        <w:t xml:space="preserve"> M.M. Acute ischemic stroke. K., 2006. 159 p.</w:t>
      </w:r>
    </w:p>
    <w:p w14:paraId="1B345034"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11. Sharp, S. I., Aarsland, D., Day, S., </w:t>
      </w:r>
      <w:proofErr w:type="spellStart"/>
      <w:r w:rsidRPr="0034040D">
        <w:rPr>
          <w:rFonts w:ascii="Times New Roman" w:hAnsi="Times New Roman" w:cs="Times New Roman"/>
          <w:sz w:val="28"/>
          <w:szCs w:val="28"/>
        </w:rPr>
        <w:t>Sonnesyn</w:t>
      </w:r>
      <w:proofErr w:type="spellEnd"/>
      <w:r w:rsidRPr="0034040D">
        <w:rPr>
          <w:rFonts w:ascii="Times New Roman" w:hAnsi="Times New Roman" w:cs="Times New Roman"/>
          <w:sz w:val="28"/>
          <w:szCs w:val="28"/>
        </w:rPr>
        <w:t>, H., Alzheimer's Society Vascular Dementia Systematic Review Group, &amp; Ballard, C. (2011). Hypertension is a potential risk factor for vascular dementia: systematic review. International Journal of Geriatric Psychiatry, 26 (7), 661-669. DOI: https://doi.org/10.1002/gps.2572</w:t>
      </w:r>
    </w:p>
    <w:p w14:paraId="40F5AA04" w14:textId="77777777" w:rsidR="0034040D"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12. </w:t>
      </w:r>
      <w:proofErr w:type="spellStart"/>
      <w:r w:rsidRPr="0034040D">
        <w:rPr>
          <w:rFonts w:ascii="Times New Roman" w:hAnsi="Times New Roman" w:cs="Times New Roman"/>
          <w:sz w:val="28"/>
          <w:szCs w:val="28"/>
        </w:rPr>
        <w:t>Kerola</w:t>
      </w:r>
      <w:proofErr w:type="spellEnd"/>
      <w:r w:rsidRPr="0034040D">
        <w:rPr>
          <w:rFonts w:ascii="Times New Roman" w:hAnsi="Times New Roman" w:cs="Times New Roman"/>
          <w:sz w:val="28"/>
          <w:szCs w:val="28"/>
        </w:rPr>
        <w:t>, T., Kettunen, R., &amp; Nieminen, T. (2011). The complex interplay of car-</w:t>
      </w:r>
      <w:proofErr w:type="spellStart"/>
      <w:r w:rsidRPr="0034040D">
        <w:rPr>
          <w:rFonts w:ascii="Times New Roman" w:hAnsi="Times New Roman" w:cs="Times New Roman"/>
          <w:sz w:val="28"/>
          <w:szCs w:val="28"/>
        </w:rPr>
        <w:t>diovascular</w:t>
      </w:r>
      <w:proofErr w:type="spellEnd"/>
      <w:r w:rsidRPr="0034040D">
        <w:rPr>
          <w:rFonts w:ascii="Times New Roman" w:hAnsi="Times New Roman" w:cs="Times New Roman"/>
          <w:sz w:val="28"/>
          <w:szCs w:val="28"/>
        </w:rPr>
        <w:t xml:space="preserve"> system and cognition: how to predict dementia in the elderly? International Journal of Cardiology, 150 (2), 123-129. DOI: https://doi.org/10.1016/j.ijcard.2010.10.018</w:t>
      </w:r>
    </w:p>
    <w:p w14:paraId="0CE06FCB" w14:textId="2B882E1A" w:rsidR="0006215E" w:rsidRPr="0034040D" w:rsidRDefault="0034040D" w:rsidP="0034040D">
      <w:pPr>
        <w:spacing w:after="0" w:line="360" w:lineRule="auto"/>
        <w:jc w:val="both"/>
        <w:rPr>
          <w:rFonts w:ascii="Times New Roman" w:hAnsi="Times New Roman" w:cs="Times New Roman"/>
          <w:sz w:val="28"/>
          <w:szCs w:val="28"/>
        </w:rPr>
      </w:pPr>
      <w:r w:rsidRPr="0034040D">
        <w:rPr>
          <w:rFonts w:ascii="Times New Roman" w:hAnsi="Times New Roman" w:cs="Times New Roman"/>
          <w:sz w:val="28"/>
          <w:szCs w:val="28"/>
        </w:rPr>
        <w:t xml:space="preserve">13. </w:t>
      </w:r>
      <w:proofErr w:type="spellStart"/>
      <w:r w:rsidRPr="0034040D">
        <w:rPr>
          <w:rFonts w:ascii="Times New Roman" w:hAnsi="Times New Roman" w:cs="Times New Roman"/>
          <w:sz w:val="28"/>
          <w:szCs w:val="28"/>
        </w:rPr>
        <w:t>Burchinsky</w:t>
      </w:r>
      <w:proofErr w:type="spellEnd"/>
      <w:r w:rsidRPr="0034040D">
        <w:rPr>
          <w:rFonts w:ascii="Times New Roman" w:hAnsi="Times New Roman" w:cs="Times New Roman"/>
          <w:sz w:val="28"/>
          <w:szCs w:val="28"/>
        </w:rPr>
        <w:t xml:space="preserve"> S. G., N. Yu. </w:t>
      </w:r>
      <w:proofErr w:type="spellStart"/>
      <w:r w:rsidRPr="0034040D">
        <w:rPr>
          <w:rFonts w:ascii="Times New Roman" w:hAnsi="Times New Roman" w:cs="Times New Roman"/>
          <w:sz w:val="28"/>
          <w:szCs w:val="28"/>
        </w:rPr>
        <w:t>Bachynska</w:t>
      </w:r>
      <w:proofErr w:type="spellEnd"/>
      <w:r w:rsidRPr="0034040D">
        <w:rPr>
          <w:rFonts w:ascii="Times New Roman" w:hAnsi="Times New Roman" w:cs="Times New Roman"/>
          <w:sz w:val="28"/>
          <w:szCs w:val="28"/>
        </w:rPr>
        <w:t xml:space="preserve">, O. A. Tikhonenko. </w:t>
      </w:r>
      <w:proofErr w:type="spellStart"/>
      <w:r w:rsidRPr="0034040D">
        <w:rPr>
          <w:rFonts w:ascii="Times New Roman" w:hAnsi="Times New Roman" w:cs="Times New Roman"/>
          <w:sz w:val="28"/>
          <w:szCs w:val="28"/>
        </w:rPr>
        <w:t>Angioprotection</w:t>
      </w:r>
      <w:proofErr w:type="spellEnd"/>
      <w:r w:rsidRPr="0034040D">
        <w:rPr>
          <w:rFonts w:ascii="Times New Roman" w:hAnsi="Times New Roman" w:cs="Times New Roman"/>
          <w:sz w:val="28"/>
          <w:szCs w:val="28"/>
        </w:rPr>
        <w:t xml:space="preserve"> and neuroprotection: key tasks of pharmacotherapy of chronic cerebral ischemia. Medicines of Ukraine. 2022. No. 1. P. 12–16.</w:t>
      </w:r>
    </w:p>
    <w:p w14:paraId="00895A9D" w14:textId="77777777" w:rsidR="0006215E" w:rsidRPr="0034040D" w:rsidRDefault="0006215E" w:rsidP="0006215E">
      <w:pPr>
        <w:spacing w:after="0" w:line="360" w:lineRule="auto"/>
        <w:jc w:val="both"/>
        <w:rPr>
          <w:rFonts w:ascii="Times New Roman" w:hAnsi="Times New Roman" w:cs="Times New Roman"/>
          <w:sz w:val="28"/>
          <w:szCs w:val="28"/>
        </w:rPr>
      </w:pPr>
    </w:p>
    <w:p w14:paraId="5268812A" w14:textId="77777777" w:rsidR="0006215E" w:rsidRPr="0034040D" w:rsidRDefault="0006215E" w:rsidP="0006215E">
      <w:pPr>
        <w:spacing w:after="0" w:line="360" w:lineRule="auto"/>
        <w:jc w:val="both"/>
        <w:rPr>
          <w:rFonts w:ascii="Times New Roman" w:hAnsi="Times New Roman" w:cs="Times New Roman"/>
          <w:sz w:val="28"/>
          <w:szCs w:val="28"/>
        </w:rPr>
      </w:pPr>
    </w:p>
    <w:sectPr w:rsidR="0006215E" w:rsidRPr="0034040D">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22C7F"/>
    <w:multiLevelType w:val="hybridMultilevel"/>
    <w:tmpl w:val="999EB82E"/>
    <w:lvl w:ilvl="0" w:tplc="041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9774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3DE"/>
    <w:rsid w:val="000143DE"/>
    <w:rsid w:val="0006215E"/>
    <w:rsid w:val="001861C3"/>
    <w:rsid w:val="0034040D"/>
    <w:rsid w:val="005559F4"/>
    <w:rsid w:val="009B772C"/>
    <w:rsid w:val="009E5BFB"/>
    <w:rsid w:val="00A10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DD04F"/>
  <w15:chartTrackingRefBased/>
  <w15:docId w15:val="{46A2BBAD-D314-40FD-8061-07EF64EA1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215E"/>
    <w:pPr>
      <w:ind w:left="720"/>
      <w:contextualSpacing/>
    </w:pPr>
  </w:style>
  <w:style w:type="paragraph" w:styleId="a4">
    <w:name w:val="Normal (Web)"/>
    <w:basedOn w:val="a"/>
    <w:uiPriority w:val="99"/>
    <w:semiHidden/>
    <w:unhideWhenUsed/>
    <w:rsid w:val="001861C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9</Pages>
  <Words>2445</Words>
  <Characters>13937</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3</cp:revision>
  <dcterms:created xsi:type="dcterms:W3CDTF">2025-01-09T15:12:00Z</dcterms:created>
  <dcterms:modified xsi:type="dcterms:W3CDTF">2025-01-10T12:08:00Z</dcterms:modified>
</cp:coreProperties>
</file>