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rStyle w:val="notranslate"/>
          <w:b/>
          <w:sz w:val="28"/>
          <w:szCs w:val="28"/>
          <w:u w:val="single"/>
          <w:lang w:val="ru-RU"/>
        </w:rPr>
      </w:pPr>
      <w:r w:rsidRPr="00C0261F">
        <w:rPr>
          <w:b/>
          <w:bCs/>
          <w:sz w:val="28"/>
          <w:szCs w:val="28"/>
          <w:u w:val="single"/>
          <w:lang w:val="en"/>
        </w:rPr>
        <w:t>The list of questions that the student must learn in the process of studying the discipline</w:t>
      </w:r>
      <w:r w:rsidRPr="00C0261F">
        <w:rPr>
          <w:u w:val="single"/>
          <w:lang w:val="en"/>
        </w:rPr>
        <w:t xml:space="preserve"> </w:t>
      </w:r>
      <w:r w:rsidRPr="00C0261F">
        <w:rPr>
          <w:rStyle w:val="notranslate"/>
          <w:b/>
          <w:sz w:val="28"/>
          <w:szCs w:val="28"/>
          <w:u w:val="single"/>
          <w:lang w:val="en-US"/>
        </w:rPr>
        <w:t>«</w:t>
      </w:r>
      <w:r w:rsidRPr="00C0261F">
        <w:rPr>
          <w:rStyle w:val="notranslate"/>
          <w:b/>
          <w:sz w:val="28"/>
          <w:szCs w:val="28"/>
          <w:u w:val="single"/>
          <w:lang w:val="en"/>
        </w:rPr>
        <w:t>Homeopathic drugs</w:t>
      </w:r>
      <w:r w:rsidRPr="00C0261F">
        <w:rPr>
          <w:rStyle w:val="notranslate"/>
          <w:b/>
          <w:sz w:val="28"/>
          <w:szCs w:val="28"/>
          <w:u w:val="single"/>
          <w:lang w:val="en-US"/>
        </w:rPr>
        <w:t>»</w:t>
      </w:r>
    </w:p>
    <w:p w:rsidR="00C0261F" w:rsidRPr="00C0261F" w:rsidRDefault="00C0261F" w:rsidP="00C0261F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u w:val="single"/>
          <w:lang w:val="ru-RU"/>
        </w:rPr>
      </w:pPr>
      <w:bookmarkStart w:id="0" w:name="_GoBack"/>
      <w:bookmarkEnd w:id="0"/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1. The concept of homeopathy. Basic principles, unlike allopathy.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2. Homeopathy Like science. The history of homeopathy. The main period of homeopathy.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3. The fundamental principles of homeopathy: the principle of similarity, dynamization, homeopathic dose.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4. Homeopathic doses.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5. The concept of potentiation (dynamization) of homeopathic medicines.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6. Testing homeopathic medicines.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7. Constitutional types of patients homeopath.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8. Samuel Hahnemann. Major works.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9. Development of a homeopathic treatment method in different countries of the world.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10. Development of homeopathy in the territory of the CIS countries.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11. Modern ideas about the mechanism of action of homeopathic medicines. Basic theories.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12. Information and energy hologram theory of the mechanism of action of homeopathic medicines.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13. The role of electromagnetic fields in the mechanisms of the therapeutic effect of homeopathic medicines.</w:t>
      </w:r>
      <w:r>
        <w:rPr>
          <w:lang w:val="en"/>
        </w:rPr>
        <w:t xml:space="preserve"> </w:t>
      </w:r>
    </w:p>
    <w:p w:rsidR="00C0261F" w:rsidRPr="001B6288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"/>
        </w:rPr>
      </w:pPr>
      <w:r w:rsidRPr="001B6288">
        <w:rPr>
          <w:sz w:val="28"/>
          <w:szCs w:val="28"/>
          <w:lang w:val="en"/>
        </w:rPr>
        <w:t xml:space="preserve">14. Water - the carrier of information memory.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1B6288">
        <w:rPr>
          <w:sz w:val="28"/>
          <w:szCs w:val="28"/>
          <w:lang w:val="en"/>
        </w:rPr>
        <w:t xml:space="preserve">15. </w:t>
      </w:r>
      <w:r w:rsidRPr="00FE3EF3">
        <w:rPr>
          <w:sz w:val="28"/>
          <w:szCs w:val="28"/>
          <w:lang w:val="en-US"/>
        </w:rPr>
        <w:t xml:space="preserve">Homeopathic Pharmacopoeia V. Shvabe. History of creation, structure.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16. Making a diagnosis in homeopathy.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17. Advantages and disadvantages of unicism and pluralism in homeopathy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18. Complex homeopathic drugs.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19. (basic) homeopathic medicines.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20. Potentiation of homeopathic medicines. Dilution scales.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21. Scales divorced. Choice of dilution, dose, duration of reception of likiv. Homeopathic tinctures (tinctures).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22. Preparation of matrix tinctures from fresh plants in homeopathic pharmacies. </w:t>
      </w:r>
    </w:p>
    <w:p w:rsidR="00C0261F" w:rsidRPr="00FE3EF3" w:rsidRDefault="00C0261F" w:rsidP="00C0261F">
      <w:pPr>
        <w:rPr>
          <w:sz w:val="28"/>
          <w:szCs w:val="28"/>
          <w:lang w:val="en-US"/>
        </w:rPr>
      </w:pPr>
      <w:r w:rsidRPr="00FE3EF3">
        <w:rPr>
          <w:sz w:val="28"/>
          <w:szCs w:val="28"/>
          <w:lang w:val="en-US"/>
        </w:rPr>
        <w:t xml:space="preserve">23. Powder rubbing (triturations), raw materials from which they are prepared, and methods of preparation. </w:t>
      </w:r>
    </w:p>
    <w:p w:rsidR="00C0261F" w:rsidRPr="001B6288" w:rsidRDefault="00C0261F" w:rsidP="00C0261F">
      <w:pPr>
        <w:rPr>
          <w:sz w:val="28"/>
          <w:szCs w:val="28"/>
          <w:lang w:val="en"/>
        </w:rPr>
      </w:pPr>
      <w:r w:rsidRPr="00FE3EF3">
        <w:rPr>
          <w:sz w:val="28"/>
          <w:szCs w:val="28"/>
          <w:lang w:val="en-US"/>
        </w:rPr>
        <w:t>24. Methods of quality control</w:t>
      </w:r>
      <w:r w:rsidRPr="001B6288">
        <w:rPr>
          <w:sz w:val="28"/>
          <w:szCs w:val="28"/>
          <w:lang w:val="en"/>
        </w:rPr>
        <w:t xml:space="preserve"> of basic (basic) homeopathic preparations. </w:t>
      </w:r>
    </w:p>
    <w:p w:rsidR="00C0261F" w:rsidRPr="001B6288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"/>
        </w:rPr>
      </w:pPr>
      <w:r w:rsidRPr="001B6288">
        <w:rPr>
          <w:sz w:val="28"/>
          <w:szCs w:val="28"/>
          <w:lang w:val="en"/>
        </w:rPr>
        <w:t xml:space="preserve">25. Homeopathic medicines solid consistency.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26. Homeopathic granules (grains), preparation technology and quality control.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27. Homeopathic medicines of liquid form for internal and external use, types, quality control.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28. Homeopathic soft drugs, types, quality assessment.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29. Safety in the preparation of homeopathic medicines, their storage and from the launch of pharmacies. Antidotes in homeopathy. Incompatibility of homeopathic medicines.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30. Homeopathic eccentric formulation for diseases of the respiratory system and ENT organs.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31. Homeopathic ectemporal formulation for cardiovascular and oral diseases.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32. Homeopathic eccentric recipe for diseases of the digestive system and skin diseases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33. Homeopathic eccentric formulation for liver and gall bladder diseases and allergic diseases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34. Homeopathic ectemporal formulation for diseases of the urinary system and diseases and diseases of the musculoskeletal system.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lastRenderedPageBreak/>
        <w:t>35. Homeopathic eccentric recipe for gynecological diseases.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sz w:val="28"/>
          <w:szCs w:val="28"/>
          <w:lang w:val="en"/>
        </w:rPr>
        <w:t>36. Homeopathic eccentric recipe for neuropsychiatric diseases and eye diseases.</w:t>
      </w:r>
      <w:r>
        <w:rPr>
          <w:lang w:val="en"/>
        </w:rPr>
        <w:t xml:space="preserve"> 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b/>
          <w:bCs/>
          <w:sz w:val="28"/>
          <w:szCs w:val="28"/>
          <w:lang w:val="en"/>
        </w:rPr>
        <w:t> </w:t>
      </w:r>
    </w:p>
    <w:p w:rsidR="00C0261F" w:rsidRPr="00FB14E1" w:rsidRDefault="00C0261F" w:rsidP="00C0261F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D0EF6">
        <w:rPr>
          <w:rStyle w:val="notranslate"/>
          <w:b/>
          <w:bCs/>
          <w:color w:val="000000"/>
          <w:sz w:val="28"/>
          <w:szCs w:val="28"/>
        </w:rPr>
        <w:t>Sources</w:t>
      </w:r>
      <w:r w:rsidRPr="00FB14E1">
        <w:rPr>
          <w:rStyle w:val="notranslate"/>
          <w:b/>
          <w:bCs/>
          <w:color w:val="000000"/>
          <w:sz w:val="28"/>
          <w:szCs w:val="28"/>
        </w:rPr>
        <w:t xml:space="preserve"> </w:t>
      </w:r>
      <w:r w:rsidRPr="001D0EF6">
        <w:rPr>
          <w:rStyle w:val="notranslate"/>
          <w:b/>
          <w:bCs/>
          <w:color w:val="000000"/>
          <w:sz w:val="28"/>
          <w:szCs w:val="28"/>
        </w:rPr>
        <w:t>of</w:t>
      </w:r>
      <w:r w:rsidRPr="00FB14E1">
        <w:rPr>
          <w:rStyle w:val="notranslate"/>
          <w:b/>
          <w:bCs/>
          <w:color w:val="000000"/>
          <w:sz w:val="28"/>
          <w:szCs w:val="28"/>
        </w:rPr>
        <w:t xml:space="preserve"> </w:t>
      </w:r>
      <w:r w:rsidRPr="001D0EF6">
        <w:rPr>
          <w:rStyle w:val="notranslate"/>
          <w:b/>
          <w:bCs/>
          <w:color w:val="000000"/>
          <w:sz w:val="28"/>
          <w:szCs w:val="28"/>
        </w:rPr>
        <w:t>information</w:t>
      </w:r>
      <w:r w:rsidRPr="00FB14E1">
        <w:rPr>
          <w:rStyle w:val="notranslate"/>
          <w:b/>
          <w:bCs/>
          <w:color w:val="000000"/>
          <w:sz w:val="28"/>
          <w:szCs w:val="28"/>
        </w:rPr>
        <w:t>: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b/>
          <w:bCs/>
          <w:spacing w:val="-6"/>
          <w:sz w:val="28"/>
          <w:szCs w:val="28"/>
          <w:lang w:val="en"/>
        </w:rPr>
        <w:t>Main:</w:t>
      </w:r>
      <w:r>
        <w:rPr>
          <w:lang w:val="en"/>
        </w:rPr>
        <w:t xml:space="preserve"> </w:t>
      </w:r>
    </w:p>
    <w:p w:rsidR="00C0261F" w:rsidRPr="00CB37A7" w:rsidRDefault="00C0261F" w:rsidP="00C0261F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</w:rPr>
        <w:t>Гуцол Л.П. Основи гомеопатії. Навчальний посібник / Лариса Гуцол. – Вінниця: нова книга. 2011. 344 с.</w:t>
      </w:r>
    </w:p>
    <w:p w:rsidR="00C0261F" w:rsidRPr="00D76B14" w:rsidRDefault="00C0261F" w:rsidP="00C0261F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rPr>
          <w:color w:val="000000"/>
          <w:sz w:val="28"/>
          <w:szCs w:val="28"/>
        </w:rPr>
      </w:pPr>
      <w:r w:rsidRPr="00D76B14">
        <w:rPr>
          <w:color w:val="000000"/>
          <w:sz w:val="28"/>
          <w:szCs w:val="28"/>
        </w:rPr>
        <w:t>Основы гомеопатической фармации: Учеб для студ. фар мац.специальностей вузов / А.И. Тихонов, С.А. Тихонова, Т.Г. Ярных, В.А. Соболева и др.; Под ред. А.И. Тихонова. – Х.: Изд-во НФАУ; Золотые страницы, 2002. – 574 с.</w:t>
      </w:r>
    </w:p>
    <w:p w:rsidR="00C0261F" w:rsidRDefault="00C0261F" w:rsidP="00C0261F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rPr>
          <w:color w:val="000000"/>
          <w:sz w:val="28"/>
          <w:szCs w:val="28"/>
          <w:lang w:val="uk-UA"/>
        </w:rPr>
      </w:pPr>
      <w:r w:rsidRPr="00D76B14">
        <w:rPr>
          <w:color w:val="000000"/>
          <w:sz w:val="28"/>
          <w:szCs w:val="28"/>
          <w:lang w:val="uk-UA"/>
        </w:rPr>
        <w:t>Практикум по технологи гомеопатическихпрепаратов: Для студ. Фар мац. вузов и ф-тов / А.И. Тихонов, М.Ф. Пасечник, Т.Г. Ярных, Л.И. Вишневская, С.А. Тихонова; Под ред.. А.И. Тихонова. – Х.: Оригинал, 2006. – 160 с.</w:t>
      </w:r>
    </w:p>
    <w:p w:rsidR="00C0261F" w:rsidRDefault="00C0261F" w:rsidP="00C0261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D76B14">
        <w:rPr>
          <w:sz w:val="28"/>
          <w:szCs w:val="28"/>
        </w:rPr>
        <w:t xml:space="preserve">Державна фармакопея України/ Державне підприємство </w:t>
      </w:r>
      <w:r w:rsidRPr="00D76B14">
        <w:rPr>
          <w:sz w:val="28"/>
          <w:szCs w:val="28"/>
          <w:lang w:val="uk-UA"/>
        </w:rPr>
        <w:t>«</w:t>
      </w:r>
      <w:r w:rsidRPr="00D76B14">
        <w:rPr>
          <w:sz w:val="28"/>
          <w:szCs w:val="28"/>
        </w:rPr>
        <w:t>Науково-експертний</w:t>
      </w:r>
      <w:r>
        <w:rPr>
          <w:sz w:val="28"/>
          <w:szCs w:val="28"/>
          <w:lang w:val="uk-UA"/>
        </w:rPr>
        <w:t xml:space="preserve"> </w:t>
      </w:r>
      <w:r w:rsidRPr="00D76B14">
        <w:rPr>
          <w:sz w:val="28"/>
          <w:szCs w:val="28"/>
        </w:rPr>
        <w:t>фармакопейний центр</w:t>
      </w:r>
      <w:r w:rsidRPr="00D76B14">
        <w:rPr>
          <w:sz w:val="28"/>
          <w:szCs w:val="28"/>
          <w:lang w:val="uk-UA"/>
        </w:rPr>
        <w:t>»</w:t>
      </w:r>
      <w:r w:rsidRPr="00D76B14">
        <w:rPr>
          <w:color w:val="000000"/>
          <w:sz w:val="28"/>
          <w:szCs w:val="28"/>
          <w:lang w:val="uk-UA"/>
        </w:rPr>
        <w:t>–</w:t>
      </w:r>
      <w:r w:rsidRPr="00D76B14">
        <w:rPr>
          <w:sz w:val="28"/>
          <w:szCs w:val="28"/>
        </w:rPr>
        <w:t xml:space="preserve"> 1-е вид.- Доповнення 3. –Харків: РІРЕГ, </w:t>
      </w:r>
      <w:r w:rsidRPr="00D76B14">
        <w:rPr>
          <w:color w:val="000000"/>
          <w:sz w:val="28"/>
          <w:szCs w:val="28"/>
          <w:lang w:val="uk-UA"/>
        </w:rPr>
        <w:t>2009. – 280 с.</w:t>
      </w:r>
    </w:p>
    <w:p w:rsidR="00C0261F" w:rsidRPr="00CB37A7" w:rsidRDefault="00C0261F" w:rsidP="00C0261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</w:rPr>
        <w:t>Гуцол Л. П., Гуцол К. М., Цимбал І. П. Доказова база класичної гомеопатії: джер</w:t>
      </w:r>
      <w:r>
        <w:rPr>
          <w:sz w:val="28"/>
          <w:szCs w:val="28"/>
        </w:rPr>
        <w:t>ела, сьогодення, перспективи</w:t>
      </w:r>
      <w:r>
        <w:rPr>
          <w:sz w:val="28"/>
          <w:szCs w:val="28"/>
          <w:lang w:val="uk-UA"/>
        </w:rPr>
        <w:t xml:space="preserve">. </w:t>
      </w:r>
      <w:r w:rsidRPr="00995528">
        <w:rPr>
          <w:i/>
          <w:sz w:val="28"/>
          <w:szCs w:val="28"/>
        </w:rPr>
        <w:t>Фітотерапія.</w:t>
      </w:r>
      <w:r w:rsidRPr="00995528">
        <w:rPr>
          <w:sz w:val="28"/>
          <w:szCs w:val="28"/>
        </w:rPr>
        <w:t xml:space="preserve"> Часопис. 2019. 1. С. 31-34</w:t>
      </w:r>
      <w:r>
        <w:rPr>
          <w:sz w:val="28"/>
          <w:szCs w:val="28"/>
          <w:lang w:val="uk-UA"/>
        </w:rPr>
        <w:t>.</w:t>
      </w:r>
    </w:p>
    <w:p w:rsidR="00C0261F" w:rsidRPr="00CB37A7" w:rsidRDefault="00C0261F" w:rsidP="00C0261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  <w:lang w:val="uk-UA"/>
        </w:rPr>
        <w:t xml:space="preserve">Гомеопатичні препарати промислового виробництва як питання для самостійного розгляду у післядипломній підготовці спеціалістів фармації / Л. І. Шульга, Т. С. Безценна, Т. Д. Губченко, О. В. Лукієнко // Фармацевтична наука та практика: проблеми, досягнення, перспективи розвитку = </w:t>
      </w:r>
      <w:r w:rsidRPr="00995528">
        <w:rPr>
          <w:sz w:val="28"/>
          <w:szCs w:val="28"/>
          <w:lang w:val="en-US"/>
        </w:rPr>
        <w:t>Pharmaceutical</w:t>
      </w:r>
      <w:r w:rsidRPr="00995528"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>science</w:t>
      </w:r>
      <w:r w:rsidRPr="00995528"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>and</w:t>
      </w:r>
      <w:r w:rsidRPr="00995528"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>practice</w:t>
      </w:r>
      <w:r w:rsidRPr="00995528">
        <w:rPr>
          <w:sz w:val="28"/>
          <w:szCs w:val="28"/>
          <w:lang w:val="uk-UA"/>
        </w:rPr>
        <w:t xml:space="preserve">: </w:t>
      </w:r>
      <w:r w:rsidRPr="00995528">
        <w:rPr>
          <w:sz w:val="28"/>
          <w:szCs w:val="28"/>
          <w:lang w:val="en-US"/>
        </w:rPr>
        <w:t>problems</w:t>
      </w:r>
      <w:r w:rsidRPr="00995528">
        <w:rPr>
          <w:sz w:val="28"/>
          <w:szCs w:val="28"/>
          <w:lang w:val="uk-UA"/>
        </w:rPr>
        <w:t xml:space="preserve">, </w:t>
      </w:r>
      <w:r w:rsidRPr="00995528">
        <w:rPr>
          <w:sz w:val="28"/>
          <w:szCs w:val="28"/>
          <w:lang w:val="en-US"/>
        </w:rPr>
        <w:t>achievements</w:t>
      </w:r>
      <w:r w:rsidRPr="00995528">
        <w:rPr>
          <w:sz w:val="28"/>
          <w:szCs w:val="28"/>
          <w:lang w:val="uk-UA"/>
        </w:rPr>
        <w:t xml:space="preserve">, </w:t>
      </w:r>
      <w:r w:rsidRPr="00995528">
        <w:rPr>
          <w:sz w:val="28"/>
          <w:szCs w:val="28"/>
          <w:lang w:val="en-US"/>
        </w:rPr>
        <w:t>prospects</w:t>
      </w:r>
      <w:r w:rsidRPr="00995528">
        <w:rPr>
          <w:sz w:val="28"/>
          <w:szCs w:val="28"/>
          <w:lang w:val="uk-UA"/>
        </w:rPr>
        <w:t xml:space="preserve"> : матер. </w:t>
      </w:r>
      <w:r w:rsidRPr="00995528">
        <w:rPr>
          <w:sz w:val="28"/>
          <w:szCs w:val="28"/>
        </w:rPr>
        <w:t>ІІ наук.-практ. інтернет-конф. з міжнар. участю, м. Харків, 27 квітня 2018 р. – Х. : НФаУ, 2018. С</w:t>
      </w:r>
      <w:r w:rsidRPr="00995528">
        <w:rPr>
          <w:sz w:val="28"/>
          <w:szCs w:val="28"/>
          <w:lang w:val="en-US"/>
        </w:rPr>
        <w:t>. 451-453.</w:t>
      </w:r>
    </w:p>
    <w:p w:rsidR="00C0261F" w:rsidRPr="00CB37A7" w:rsidRDefault="00C0261F" w:rsidP="00C0261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</w:rPr>
        <w:t>Вильям Берике Materia Med</w:t>
      </w:r>
      <w:r>
        <w:rPr>
          <w:sz w:val="28"/>
          <w:szCs w:val="28"/>
        </w:rPr>
        <w:t>ica гомеопатических препаратов</w:t>
      </w:r>
      <w:r>
        <w:rPr>
          <w:sz w:val="28"/>
          <w:szCs w:val="28"/>
          <w:lang w:val="uk-UA"/>
        </w:rPr>
        <w:t xml:space="preserve">. </w:t>
      </w:r>
      <w:r w:rsidRPr="00995528">
        <w:rPr>
          <w:sz w:val="28"/>
          <w:szCs w:val="28"/>
        </w:rPr>
        <w:t>Libra. 2017. 720</w:t>
      </w:r>
      <w:r w:rsidRPr="00CB37A7">
        <w:rPr>
          <w:sz w:val="28"/>
          <w:szCs w:val="28"/>
        </w:rPr>
        <w:t xml:space="preserve"> </w:t>
      </w:r>
      <w:r w:rsidRPr="00995528">
        <w:rPr>
          <w:sz w:val="28"/>
          <w:szCs w:val="28"/>
        </w:rPr>
        <w:t>с.</w:t>
      </w:r>
    </w:p>
    <w:p w:rsidR="00C0261F" w:rsidRPr="00CB37A7" w:rsidRDefault="00C0261F" w:rsidP="00C0261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  <w:lang w:val="uk-UA"/>
        </w:rPr>
        <w:t xml:space="preserve">Чекман </w:t>
      </w:r>
      <w:r w:rsidRPr="00995528">
        <w:rPr>
          <w:sz w:val="28"/>
          <w:szCs w:val="28"/>
        </w:rPr>
        <w:t>I</w:t>
      </w:r>
      <w:r w:rsidRPr="00995528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</w:rPr>
        <w:t>C</w:t>
      </w:r>
      <w:r w:rsidRPr="00995528">
        <w:rPr>
          <w:sz w:val="28"/>
          <w:szCs w:val="28"/>
          <w:lang w:val="uk-UA"/>
        </w:rPr>
        <w:t>., Мощич О.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uk-UA"/>
        </w:rPr>
        <w:t>Гомеопат</w:t>
      </w:r>
      <w:r w:rsidRPr="00995528">
        <w:rPr>
          <w:sz w:val="28"/>
          <w:szCs w:val="28"/>
        </w:rPr>
        <w:t>i</w:t>
      </w:r>
      <w:r w:rsidRPr="00995528">
        <w:rPr>
          <w:sz w:val="28"/>
          <w:szCs w:val="28"/>
          <w:lang w:val="uk-UA"/>
        </w:rPr>
        <w:t>я, як п</w:t>
      </w:r>
      <w:r w:rsidRPr="00995528">
        <w:rPr>
          <w:sz w:val="28"/>
          <w:szCs w:val="28"/>
        </w:rPr>
        <w:t>i</w:t>
      </w:r>
      <w:r>
        <w:rPr>
          <w:sz w:val="28"/>
          <w:szCs w:val="28"/>
          <w:lang w:val="uk-UA"/>
        </w:rPr>
        <w:t xml:space="preserve">онер наномедицини. </w:t>
      </w:r>
      <w:r w:rsidRPr="00995528">
        <w:rPr>
          <w:i/>
          <w:sz w:val="28"/>
          <w:szCs w:val="28"/>
          <w:lang w:val="uk-UA"/>
        </w:rPr>
        <w:t>Український гомеопатичний щорічник</w:t>
      </w:r>
      <w:r w:rsidRPr="00995528">
        <w:rPr>
          <w:sz w:val="28"/>
          <w:szCs w:val="28"/>
          <w:lang w:val="uk-UA"/>
        </w:rPr>
        <w:t>. 2017. Т.14. С.169-175</w:t>
      </w:r>
      <w:r w:rsidRPr="00CB37A7">
        <w:rPr>
          <w:sz w:val="28"/>
          <w:szCs w:val="28"/>
          <w:lang w:val="uk-UA"/>
        </w:rPr>
        <w:t>.</w:t>
      </w:r>
    </w:p>
    <w:p w:rsidR="00C0261F" w:rsidRDefault="00C0261F" w:rsidP="00C0261F">
      <w:pPr>
        <w:pStyle w:val="a3"/>
        <w:shd w:val="clear" w:color="auto" w:fill="FFFFFF"/>
        <w:spacing w:before="0" w:beforeAutospacing="0" w:after="0" w:afterAutospacing="0"/>
        <w:jc w:val="both"/>
        <w:rPr>
          <w:lang w:val="en"/>
        </w:rPr>
      </w:pPr>
      <w:r>
        <w:rPr>
          <w:b/>
          <w:bCs/>
          <w:sz w:val="28"/>
          <w:szCs w:val="28"/>
          <w:lang w:val="en"/>
        </w:rPr>
        <w:t>Additional:</w:t>
      </w:r>
      <w:r>
        <w:rPr>
          <w:lang w:val="en"/>
        </w:rPr>
        <w:t xml:space="preserve"> </w:t>
      </w:r>
    </w:p>
    <w:p w:rsidR="00C0261F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 w:rsidRPr="00D76B14">
        <w:rPr>
          <w:color w:val="000000"/>
          <w:sz w:val="28"/>
          <w:szCs w:val="28"/>
        </w:rPr>
        <w:t>Сергеева О.</w:t>
      </w:r>
      <w:r>
        <w:rPr>
          <w:color w:val="000000"/>
          <w:sz w:val="28"/>
          <w:szCs w:val="28"/>
          <w:lang w:val="uk-UA"/>
        </w:rPr>
        <w:t xml:space="preserve"> </w:t>
      </w:r>
      <w:r w:rsidRPr="00D76B14">
        <w:rPr>
          <w:color w:val="000000"/>
          <w:sz w:val="28"/>
          <w:szCs w:val="28"/>
        </w:rPr>
        <w:t>Ю</w:t>
      </w:r>
      <w:r>
        <w:rPr>
          <w:color w:val="000000"/>
          <w:sz w:val="28"/>
          <w:szCs w:val="28"/>
          <w:lang w:val="uk-UA"/>
        </w:rPr>
        <w:t>.</w:t>
      </w:r>
      <w:r w:rsidRPr="00CB37A7">
        <w:rPr>
          <w:color w:val="000000"/>
          <w:sz w:val="28"/>
          <w:szCs w:val="28"/>
        </w:rPr>
        <w:t xml:space="preserve"> </w:t>
      </w:r>
      <w:r w:rsidRPr="00D76B14">
        <w:rPr>
          <w:color w:val="000000"/>
          <w:sz w:val="28"/>
          <w:szCs w:val="28"/>
        </w:rPr>
        <w:t>Тихонова</w:t>
      </w:r>
      <w:r w:rsidRPr="00CB37A7">
        <w:rPr>
          <w:color w:val="000000"/>
          <w:sz w:val="28"/>
          <w:szCs w:val="28"/>
        </w:rPr>
        <w:t xml:space="preserve"> </w:t>
      </w:r>
      <w:r w:rsidRPr="00D76B14">
        <w:rPr>
          <w:color w:val="000000"/>
          <w:sz w:val="28"/>
          <w:szCs w:val="28"/>
        </w:rPr>
        <w:t>С.</w:t>
      </w:r>
      <w:r>
        <w:rPr>
          <w:color w:val="000000"/>
          <w:sz w:val="28"/>
          <w:szCs w:val="28"/>
          <w:lang w:val="uk-UA"/>
        </w:rPr>
        <w:t xml:space="preserve"> </w:t>
      </w:r>
      <w:r w:rsidRPr="00D76B14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uk-UA"/>
        </w:rPr>
        <w:t xml:space="preserve">. </w:t>
      </w:r>
      <w:r w:rsidRPr="00D76B14">
        <w:rPr>
          <w:color w:val="000000"/>
          <w:sz w:val="28"/>
          <w:szCs w:val="28"/>
        </w:rPr>
        <w:t>Единая украинская номенклатура монокомпонентных гомеопатических лекарственных средств как инструмент упорядочивания отечественного рынка гомеопати</w:t>
      </w:r>
      <w:r>
        <w:rPr>
          <w:color w:val="000000"/>
          <w:sz w:val="28"/>
          <w:szCs w:val="28"/>
        </w:rPr>
        <w:t>ческих лекарственных препаратов</w:t>
      </w:r>
      <w:r>
        <w:rPr>
          <w:color w:val="000000"/>
          <w:sz w:val="28"/>
          <w:szCs w:val="28"/>
          <w:lang w:val="uk-UA"/>
        </w:rPr>
        <w:t xml:space="preserve">. </w:t>
      </w:r>
      <w:r w:rsidRPr="00CB37A7">
        <w:rPr>
          <w:i/>
          <w:color w:val="000000"/>
          <w:sz w:val="28"/>
          <w:szCs w:val="28"/>
          <w:lang w:val="uk-UA"/>
        </w:rPr>
        <w:t>Ліки України.</w:t>
      </w:r>
      <w:r>
        <w:rPr>
          <w:color w:val="000000"/>
          <w:sz w:val="28"/>
          <w:szCs w:val="28"/>
          <w:lang w:val="uk-UA"/>
        </w:rPr>
        <w:t xml:space="preserve"> 2007. № 112. </w:t>
      </w:r>
      <w:r w:rsidRPr="00D76B14">
        <w:rPr>
          <w:color w:val="000000"/>
          <w:sz w:val="28"/>
          <w:szCs w:val="28"/>
          <w:lang w:val="uk-UA"/>
        </w:rPr>
        <w:t>С. 95-97.</w:t>
      </w:r>
    </w:p>
    <w:p w:rsidR="00C0261F" w:rsidRPr="00CB37A7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  <w:lang w:val="uk-UA"/>
        </w:rPr>
        <w:t>Гуцол Л. П. Оцінка ефективності методу гомеопатії: точка зору споживачів гоме</w:t>
      </w:r>
      <w:r>
        <w:rPr>
          <w:sz w:val="28"/>
          <w:szCs w:val="28"/>
          <w:lang w:val="uk-UA"/>
        </w:rPr>
        <w:t xml:space="preserve">опатичних лікарських засобів. </w:t>
      </w:r>
      <w:r w:rsidRPr="00995528">
        <w:rPr>
          <w:i/>
          <w:sz w:val="28"/>
          <w:szCs w:val="28"/>
          <w:lang w:val="uk-UA"/>
        </w:rPr>
        <w:t>Вісник соціальної гігієни та організації охорони здоров'я України.</w:t>
      </w:r>
      <w:r w:rsidRPr="00995528"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</w:rPr>
        <w:t>2013. 3. С. 37-42.</w:t>
      </w:r>
    </w:p>
    <w:p w:rsidR="00C0261F" w:rsidRPr="00CB37A7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</w:rPr>
        <w:t>Сюбаев Р. Д., Енгалычева Г. Н., Горячев Д. В. Обоснование безопасности гомеопатических лекарственных сре</w:t>
      </w:r>
      <w:r>
        <w:rPr>
          <w:sz w:val="28"/>
          <w:szCs w:val="28"/>
        </w:rPr>
        <w:t>дств в регистрационном досье</w:t>
      </w:r>
      <w:r>
        <w:rPr>
          <w:sz w:val="28"/>
          <w:szCs w:val="28"/>
          <w:lang w:val="uk-UA"/>
        </w:rPr>
        <w:t xml:space="preserve">. </w:t>
      </w:r>
      <w:r w:rsidRPr="00995528">
        <w:rPr>
          <w:i/>
          <w:sz w:val="28"/>
          <w:szCs w:val="28"/>
        </w:rPr>
        <w:t>Безопасность и риск фармакотерапии.</w:t>
      </w:r>
      <w:r w:rsidRPr="00995528">
        <w:rPr>
          <w:sz w:val="28"/>
          <w:szCs w:val="28"/>
        </w:rPr>
        <w:t xml:space="preserve"> </w:t>
      </w:r>
      <w:r w:rsidRPr="00995528">
        <w:rPr>
          <w:sz w:val="28"/>
          <w:szCs w:val="28"/>
          <w:lang w:val="en-US"/>
        </w:rPr>
        <w:t xml:space="preserve">2019. </w:t>
      </w:r>
      <w:r w:rsidRPr="00995528">
        <w:rPr>
          <w:sz w:val="28"/>
          <w:szCs w:val="28"/>
        </w:rPr>
        <w:t>Т</w:t>
      </w:r>
      <w:r w:rsidRPr="00995528">
        <w:rPr>
          <w:sz w:val="28"/>
          <w:szCs w:val="28"/>
          <w:lang w:val="en-US"/>
        </w:rPr>
        <w:t xml:space="preserve">. 7. No 4. </w:t>
      </w:r>
      <w:r w:rsidRPr="00995528">
        <w:rPr>
          <w:sz w:val="28"/>
          <w:szCs w:val="28"/>
        </w:rPr>
        <w:t>С</w:t>
      </w:r>
      <w:r w:rsidRPr="00995528">
        <w:rPr>
          <w:sz w:val="28"/>
          <w:szCs w:val="28"/>
          <w:lang w:val="en-US"/>
        </w:rPr>
        <w:t>. 200-215.</w:t>
      </w:r>
    </w:p>
    <w:p w:rsidR="00C0261F" w:rsidRPr="00CB37A7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en-US"/>
        </w:rPr>
        <w:t>Mathie R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, Fok Y</w:t>
      </w:r>
      <w:r>
        <w:rPr>
          <w:sz w:val="28"/>
          <w:szCs w:val="28"/>
          <w:lang w:val="uk-UA"/>
        </w:rPr>
        <w:t>.</w:t>
      </w:r>
      <w:r w:rsidRPr="00995528">
        <w:rPr>
          <w:sz w:val="28"/>
          <w:szCs w:val="28"/>
          <w:lang w:val="en-US"/>
        </w:rPr>
        <w:t>, Viksveen P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, To A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, Davidson J</w:t>
      </w:r>
      <w:r>
        <w:rPr>
          <w:sz w:val="28"/>
          <w:szCs w:val="28"/>
          <w:lang w:val="uk-UA"/>
        </w:rPr>
        <w:t>.</w:t>
      </w:r>
      <w:r w:rsidRPr="00995528">
        <w:rPr>
          <w:sz w:val="28"/>
          <w:szCs w:val="28"/>
          <w:lang w:val="en-US"/>
        </w:rPr>
        <w:t>T. Systematic review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 xml:space="preserve">and meta-analysis of randomised, other-than-placebo controlled, trials of non-individualised homeopathic treatment. </w:t>
      </w:r>
      <w:r w:rsidRPr="00995528">
        <w:rPr>
          <w:i/>
          <w:sz w:val="28"/>
          <w:szCs w:val="28"/>
          <w:lang w:val="en-US"/>
        </w:rPr>
        <w:t>Homeopathy.</w:t>
      </w:r>
      <w:r w:rsidRPr="00995528">
        <w:rPr>
          <w:sz w:val="28"/>
          <w:szCs w:val="28"/>
          <w:lang w:val="en-US"/>
        </w:rPr>
        <w:t xml:space="preserve"> 2019. 108(2). </w:t>
      </w:r>
      <w:r w:rsidRPr="00995528">
        <w:rPr>
          <w:sz w:val="28"/>
          <w:szCs w:val="28"/>
        </w:rPr>
        <w:t>Р</w:t>
      </w:r>
      <w:r w:rsidRPr="00995528">
        <w:rPr>
          <w:sz w:val="28"/>
          <w:szCs w:val="28"/>
          <w:lang w:val="en-US"/>
        </w:rPr>
        <w:t>. 88–101</w:t>
      </w:r>
      <w:r w:rsidRPr="00CB37A7">
        <w:rPr>
          <w:sz w:val="28"/>
          <w:szCs w:val="28"/>
          <w:lang w:val="uk-UA"/>
        </w:rPr>
        <w:t>.</w:t>
      </w:r>
    </w:p>
    <w:p w:rsidR="00C0261F" w:rsidRPr="00CB37A7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  <w:lang w:val="en-US"/>
        </w:rPr>
        <w:t xml:space="preserve">Relton C, Cooper K, Viksveen P, Fibert P, Thomas K. Prevalence of homeopathy use by the general population worldwide: </w:t>
      </w:r>
      <w:r>
        <w:rPr>
          <w:sz w:val="28"/>
          <w:szCs w:val="28"/>
          <w:lang w:val="en-US"/>
        </w:rPr>
        <w:t xml:space="preserve">a systematic review. </w:t>
      </w:r>
      <w:r w:rsidRPr="00CB37A7">
        <w:rPr>
          <w:i/>
          <w:sz w:val="28"/>
          <w:szCs w:val="28"/>
          <w:lang w:val="en-US"/>
        </w:rPr>
        <w:t>Homeopathy</w:t>
      </w:r>
      <w:r w:rsidRPr="00CB37A7">
        <w:rPr>
          <w:i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>2017. 106 (2). P. 69–78.</w:t>
      </w:r>
    </w:p>
    <w:p w:rsidR="00C0261F" w:rsidRPr="00CB37A7" w:rsidRDefault="00C0261F" w:rsidP="00C0261F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</w:tabs>
        <w:ind w:left="0" w:firstLine="0"/>
        <w:jc w:val="both"/>
        <w:rPr>
          <w:color w:val="000000"/>
          <w:sz w:val="28"/>
          <w:szCs w:val="28"/>
          <w:lang w:val="uk-UA"/>
        </w:rPr>
      </w:pPr>
      <w:r w:rsidRPr="00995528">
        <w:rPr>
          <w:sz w:val="28"/>
          <w:szCs w:val="28"/>
          <w:lang w:val="en-US"/>
        </w:rPr>
        <w:t>Surender S. Prerna K.</w:t>
      </w:r>
      <w:r>
        <w:rPr>
          <w:sz w:val="28"/>
          <w:szCs w:val="28"/>
          <w:lang w:val="en-US"/>
        </w:rPr>
        <w:t xml:space="preserve">, Ritu K. </w:t>
      </w:r>
      <w:r w:rsidRPr="00995528">
        <w:rPr>
          <w:sz w:val="28"/>
          <w:szCs w:val="28"/>
          <w:lang w:val="en-US"/>
        </w:rPr>
        <w:t>Safety studies of homoeopathic drugs in</w:t>
      </w:r>
      <w:r>
        <w:rPr>
          <w:sz w:val="28"/>
          <w:szCs w:val="28"/>
          <w:lang w:val="uk-UA"/>
        </w:rPr>
        <w:t xml:space="preserve"> </w:t>
      </w:r>
      <w:r w:rsidRPr="00995528">
        <w:rPr>
          <w:sz w:val="28"/>
          <w:szCs w:val="28"/>
          <w:lang w:val="en-US"/>
        </w:rPr>
        <w:t>acute, sub-acute a</w:t>
      </w:r>
      <w:r>
        <w:rPr>
          <w:sz w:val="28"/>
          <w:szCs w:val="28"/>
          <w:lang w:val="en-US"/>
        </w:rPr>
        <w:t>nd chronic toxicity in rats</w:t>
      </w:r>
      <w:r>
        <w:rPr>
          <w:sz w:val="28"/>
          <w:szCs w:val="28"/>
          <w:lang w:val="uk-UA"/>
        </w:rPr>
        <w:t xml:space="preserve">. </w:t>
      </w:r>
      <w:r w:rsidRPr="00995528">
        <w:rPr>
          <w:i/>
          <w:sz w:val="28"/>
          <w:szCs w:val="28"/>
          <w:lang w:val="en-US"/>
        </w:rPr>
        <w:t>Indian Journal of Research in</w:t>
      </w:r>
      <w:r w:rsidRPr="00CB37A7">
        <w:rPr>
          <w:i/>
          <w:sz w:val="28"/>
          <w:szCs w:val="28"/>
          <w:lang w:val="uk-UA"/>
        </w:rPr>
        <w:t xml:space="preserve">. </w:t>
      </w:r>
      <w:r w:rsidRPr="00995528">
        <w:rPr>
          <w:i/>
          <w:sz w:val="28"/>
          <w:szCs w:val="28"/>
          <w:lang w:val="en-US"/>
        </w:rPr>
        <w:t>Homoeopathy.</w:t>
      </w:r>
      <w:r w:rsidRPr="00995528">
        <w:rPr>
          <w:sz w:val="28"/>
          <w:szCs w:val="28"/>
          <w:lang w:val="en-US"/>
        </w:rPr>
        <w:t xml:space="preserve"> 2017. Vol. 11, N 1. P. 48 – 57.</w:t>
      </w:r>
    </w:p>
    <w:p w:rsidR="00C0261F" w:rsidRPr="000A6D37" w:rsidRDefault="00C0261F" w:rsidP="00C0261F">
      <w:pPr>
        <w:rPr>
          <w:szCs w:val="28"/>
          <w:lang w:val="uk-UA"/>
        </w:rPr>
      </w:pPr>
    </w:p>
    <w:p w:rsidR="00A43678" w:rsidRDefault="00A43678"/>
    <w:sectPr w:rsidR="00A43678" w:rsidSect="0088367A">
      <w:pgSz w:w="11906" w:h="16838"/>
      <w:pgMar w:top="113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54"/>
    <w:rsid w:val="00680F54"/>
    <w:rsid w:val="00A43678"/>
    <w:rsid w:val="00C0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1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261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C0261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1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261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C0261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843</Words>
  <Characters>4807</Characters>
  <Application>Microsoft Office Word</Application>
  <DocSecurity>0</DocSecurity>
  <Lines>40</Lines>
  <Paragraphs>11</Paragraphs>
  <ScaleCrop>false</ScaleCrop>
  <Company>diakov.net</Company>
  <LinksUpToDate>false</LinksUpToDate>
  <CharactersWithSpaces>5639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2020-10-14T13:16:00Z</dcterms:created>
  <dcterms:modified xsi:type="dcterms:W3CDTF">2020-10-14T13:17:00Z</dcterms:modified>
</cp:coreProperties>
</file>