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947E" w14:textId="11CBD82D" w:rsidR="00A921C3" w:rsidRPr="00BE0EB1" w:rsidRDefault="00A16470" w:rsidP="00BE0EB1">
      <w:pPr>
        <w:jc w:val="center"/>
        <w:rPr>
          <w:b/>
          <w:sz w:val="32"/>
          <w:szCs w:val="32"/>
        </w:rPr>
      </w:pPr>
      <w:proofErr w:type="spellStart"/>
      <w:r w:rsidRPr="00BE0EB1">
        <w:rPr>
          <w:b/>
          <w:sz w:val="32"/>
          <w:szCs w:val="32"/>
        </w:rPr>
        <w:t>Questions</w:t>
      </w:r>
      <w:proofErr w:type="spellEnd"/>
      <w:r w:rsidRPr="00BE0EB1">
        <w:rPr>
          <w:b/>
          <w:sz w:val="32"/>
          <w:szCs w:val="32"/>
        </w:rPr>
        <w:t xml:space="preserve"> </w:t>
      </w:r>
      <w:proofErr w:type="spellStart"/>
      <w:r w:rsidRPr="00BE0EB1">
        <w:rPr>
          <w:b/>
          <w:sz w:val="32"/>
          <w:szCs w:val="32"/>
        </w:rPr>
        <w:t>for</w:t>
      </w:r>
      <w:proofErr w:type="spellEnd"/>
      <w:r w:rsidRPr="00BE0EB1">
        <w:rPr>
          <w:b/>
          <w:sz w:val="32"/>
          <w:szCs w:val="32"/>
        </w:rPr>
        <w:t xml:space="preserve"> </w:t>
      </w:r>
      <w:proofErr w:type="spellStart"/>
      <w:r w:rsidRPr="00BE0EB1">
        <w:rPr>
          <w:b/>
          <w:sz w:val="32"/>
          <w:szCs w:val="32"/>
          <w:lang w:bidi="uk-UA"/>
        </w:rPr>
        <w:t>preparing</w:t>
      </w:r>
      <w:proofErr w:type="spellEnd"/>
      <w:r w:rsidRPr="00BE0EB1">
        <w:rPr>
          <w:b/>
          <w:sz w:val="32"/>
          <w:szCs w:val="32"/>
          <w:lang w:bidi="uk-UA"/>
        </w:rPr>
        <w:t xml:space="preserve"> </w:t>
      </w:r>
      <w:proofErr w:type="spellStart"/>
      <w:r w:rsidRPr="00BE0EB1">
        <w:rPr>
          <w:b/>
          <w:sz w:val="32"/>
          <w:szCs w:val="32"/>
        </w:rPr>
        <w:t>for</w:t>
      </w:r>
      <w:proofErr w:type="spellEnd"/>
      <w:r w:rsidRPr="00BE0EB1">
        <w:rPr>
          <w:b/>
          <w:sz w:val="32"/>
          <w:szCs w:val="32"/>
        </w:rPr>
        <w:t xml:space="preserve"> </w:t>
      </w:r>
      <w:proofErr w:type="spellStart"/>
      <w:r w:rsidRPr="00BE0EB1">
        <w:rPr>
          <w:b/>
          <w:sz w:val="32"/>
          <w:szCs w:val="32"/>
          <w:lang w:bidi="uk-UA"/>
        </w:rPr>
        <w:t>the</w:t>
      </w:r>
      <w:proofErr w:type="spellEnd"/>
      <w:r w:rsidRPr="00BE0EB1">
        <w:rPr>
          <w:b/>
          <w:sz w:val="32"/>
          <w:szCs w:val="32"/>
          <w:lang w:bidi="uk-UA"/>
        </w:rPr>
        <w:t xml:space="preserve"> </w:t>
      </w:r>
      <w:proofErr w:type="spellStart"/>
      <w:r w:rsidRPr="00BE0EB1">
        <w:rPr>
          <w:b/>
          <w:sz w:val="32"/>
          <w:szCs w:val="32"/>
          <w:lang w:bidi="uk-UA"/>
        </w:rPr>
        <w:t>final</w:t>
      </w:r>
      <w:proofErr w:type="spellEnd"/>
      <w:r w:rsidRPr="00BE0EB1">
        <w:rPr>
          <w:b/>
          <w:sz w:val="32"/>
          <w:szCs w:val="32"/>
          <w:lang w:bidi="uk-UA"/>
        </w:rPr>
        <w:t xml:space="preserve"> </w:t>
      </w:r>
      <w:proofErr w:type="spellStart"/>
      <w:r w:rsidRPr="00BE0EB1">
        <w:rPr>
          <w:b/>
          <w:sz w:val="32"/>
          <w:szCs w:val="32"/>
        </w:rPr>
        <w:t>control</w:t>
      </w:r>
      <w:proofErr w:type="spellEnd"/>
    </w:p>
    <w:p w14:paraId="1BD311B9" w14:textId="77777777" w:rsidR="00BE0EB1" w:rsidRDefault="00BE0EB1" w:rsidP="00BE0EB1">
      <w:pPr>
        <w:jc w:val="center"/>
        <w:rPr>
          <w:b/>
        </w:rPr>
      </w:pPr>
    </w:p>
    <w:p w14:paraId="00E9350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1. Basic terms of quality management.</w:t>
      </w:r>
    </w:p>
    <w:p w14:paraId="0DA4A351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2. Stages of development of quality management in the world.</w:t>
      </w:r>
    </w:p>
    <w:p w14:paraId="001A1660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3. F. Taylor's concept.</w:t>
      </w:r>
    </w:p>
    <w:p w14:paraId="03D9057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4. W. Shewhart's concept.</w:t>
      </w:r>
    </w:p>
    <w:p w14:paraId="37B3FC0A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5. The concept of total quality control (TQC).</w:t>
      </w:r>
    </w:p>
    <w:p w14:paraId="0ED8EC9E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6. The concept of quality management within the entire company (CWQC).</w:t>
      </w:r>
    </w:p>
    <w:p w14:paraId="32FA1E4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7. The concept of total quality management (TQM).</w:t>
      </w:r>
    </w:p>
    <w:p w14:paraId="40692C9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8. The concept of E. Deming.</w:t>
      </w:r>
    </w:p>
    <w:p w14:paraId="1DE074A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9. The concept of J. Juran.</w:t>
      </w:r>
    </w:p>
    <w:p w14:paraId="46E8BFD4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10. The concept of Ettinger - Sittig.</w:t>
      </w:r>
    </w:p>
    <w:p w14:paraId="6A13FD95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 xml:space="preserve">11. The concept of G. </w:t>
      </w:r>
      <w:proofErr w:type="spellStart"/>
      <w:r w:rsidRPr="00BE0EB1">
        <w:rPr>
          <w:bCs/>
          <w:sz w:val="28"/>
          <w:szCs w:val="28"/>
          <w:lang w:val="en-US" w:eastAsia="ru-RU"/>
        </w:rPr>
        <w:t>Tagutti</w:t>
      </w:r>
      <w:proofErr w:type="spellEnd"/>
      <w:r w:rsidRPr="00BE0EB1">
        <w:rPr>
          <w:bCs/>
          <w:sz w:val="28"/>
          <w:szCs w:val="28"/>
          <w:lang w:val="en-US" w:eastAsia="ru-RU"/>
        </w:rPr>
        <w:t>.</w:t>
      </w:r>
    </w:p>
    <w:p w14:paraId="1BF4279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12. The concept of F. Crosby.</w:t>
      </w:r>
    </w:p>
    <w:p w14:paraId="00A01D0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13. ISO 9000 series standards.</w:t>
      </w:r>
    </w:p>
    <w:p w14:paraId="1987815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14. ISO 10000 series standards.</w:t>
      </w:r>
    </w:p>
    <w:p w14:paraId="7E78FB75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15. ISO 13485 standard.</w:t>
      </w:r>
    </w:p>
    <w:p w14:paraId="0253A69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16. ISO 14000 series standards.</w:t>
      </w:r>
    </w:p>
    <w:p w14:paraId="5E2A9A16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17. ISO 19011 standard.</w:t>
      </w:r>
    </w:p>
    <w:p w14:paraId="236636C8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proofErr w:type="gramStart"/>
      <w:r w:rsidRPr="00BE0EB1">
        <w:rPr>
          <w:bCs/>
          <w:sz w:val="28"/>
          <w:szCs w:val="28"/>
          <w:lang w:val="en-US" w:eastAsia="ru-RU"/>
        </w:rPr>
        <w:t>18. .</w:t>
      </w:r>
      <w:proofErr w:type="gramEnd"/>
      <w:r w:rsidRPr="00BE0EB1">
        <w:rPr>
          <w:bCs/>
          <w:sz w:val="28"/>
          <w:szCs w:val="28"/>
          <w:lang w:val="en-US" w:eastAsia="ru-RU"/>
        </w:rPr>
        <w:t xml:space="preserve"> ISO 22000 standard.</w:t>
      </w:r>
    </w:p>
    <w:p w14:paraId="235059A5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19. ISO 26000 standard.</w:t>
      </w:r>
    </w:p>
    <w:p w14:paraId="5C8BD140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fr-FR" w:eastAsia="ru-RU"/>
        </w:rPr>
      </w:pPr>
      <w:r w:rsidRPr="00BE0EB1">
        <w:rPr>
          <w:bCs/>
          <w:sz w:val="28"/>
          <w:szCs w:val="28"/>
          <w:lang w:val="fr-FR" w:eastAsia="ru-RU"/>
        </w:rPr>
        <w:t>20. SA 8000 standard.</w:t>
      </w:r>
    </w:p>
    <w:p w14:paraId="7AE77AE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fr-FR" w:eastAsia="ru-RU"/>
        </w:rPr>
      </w:pPr>
      <w:r w:rsidRPr="00BE0EB1">
        <w:rPr>
          <w:bCs/>
          <w:sz w:val="28"/>
          <w:szCs w:val="28"/>
          <w:lang w:val="fr-FR" w:eastAsia="ru-RU"/>
        </w:rPr>
        <w:t>21. UN Global Compact.</w:t>
      </w:r>
    </w:p>
    <w:p w14:paraId="1D64183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22. ISO 27000 series standards.</w:t>
      </w:r>
    </w:p>
    <w:p w14:paraId="2402A7EA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23. ISO 31000 series standards.</w:t>
      </w:r>
    </w:p>
    <w:p w14:paraId="14F087F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24. ISO 37001 standard.</w:t>
      </w:r>
    </w:p>
    <w:p w14:paraId="6A9DAF6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25. OHSAS 18001 standard</w:t>
      </w:r>
    </w:p>
    <w:p w14:paraId="3E5FE37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26. ISO 45001 standard.</w:t>
      </w:r>
    </w:p>
    <w:p w14:paraId="7FA6BB5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27. The concept of good pharmaceutical practices (</w:t>
      </w:r>
      <w:proofErr w:type="spellStart"/>
      <w:r w:rsidRPr="00BE0EB1">
        <w:rPr>
          <w:bCs/>
          <w:sz w:val="28"/>
          <w:szCs w:val="28"/>
          <w:lang w:val="en-US" w:eastAsia="ru-RU"/>
        </w:rPr>
        <w:t>GxP</w:t>
      </w:r>
      <w:proofErr w:type="spellEnd"/>
      <w:r w:rsidRPr="00BE0EB1">
        <w:rPr>
          <w:bCs/>
          <w:sz w:val="28"/>
          <w:szCs w:val="28"/>
          <w:lang w:val="en-US" w:eastAsia="ru-RU"/>
        </w:rPr>
        <w:t>) and their role in quality assurance at all stages of the life cycle of medicines.</w:t>
      </w:r>
    </w:p>
    <w:p w14:paraId="3A6D5098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28. ICH Q8.</w:t>
      </w:r>
    </w:p>
    <w:p w14:paraId="0EB9B15C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29. Good Laboratory Practice.</w:t>
      </w:r>
    </w:p>
    <w:p w14:paraId="04D5DD9C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lastRenderedPageBreak/>
        <w:t>30. Good Clinical Practice.</w:t>
      </w:r>
    </w:p>
    <w:p w14:paraId="1BA34C3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31. Good Regulatory Practice.</w:t>
      </w:r>
    </w:p>
    <w:p w14:paraId="62AFA9B4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32. Good Manufacturing Practice.</w:t>
      </w:r>
    </w:p>
    <w:p w14:paraId="080E426C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33. Good Storage Practice.</w:t>
      </w:r>
    </w:p>
    <w:p w14:paraId="2616EF85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34. Good Distribution Practice.</w:t>
      </w:r>
    </w:p>
    <w:p w14:paraId="58EF8354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35. Good Pharmacy Practice.</w:t>
      </w:r>
    </w:p>
    <w:p w14:paraId="778E085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36. Good Pharmacovigilance Practices.</w:t>
      </w:r>
    </w:p>
    <w:p w14:paraId="1EE25E0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37. ICH Q9.</w:t>
      </w:r>
    </w:p>
    <w:p w14:paraId="6D3EE2F9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38. ICH Q10.</w:t>
      </w:r>
    </w:p>
    <w:p w14:paraId="20966AE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39. Integrated Quality Management Systems of Pharmaceutical Organizations.</w:t>
      </w:r>
    </w:p>
    <w:p w14:paraId="458F46D4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40. State Pharmacopoeia of Ukraine.</w:t>
      </w:r>
    </w:p>
    <w:p w14:paraId="249D0DF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41. Structure of the State System for Regulation of the Circulation of Medicinal Products in Ukraine.</w:t>
      </w:r>
    </w:p>
    <w:p w14:paraId="382E1D4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42. Ministry of Health of Ukraine.</w:t>
      </w:r>
    </w:p>
    <w:p w14:paraId="5C26882E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43. State Expert Center of the Ministry of Health of Ukraine.</w:t>
      </w:r>
    </w:p>
    <w:p w14:paraId="4D4346E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44. Directorate of Pharmaceutical Supply of the Ministry of Health of Ukraine.</w:t>
      </w:r>
    </w:p>
    <w:p w14:paraId="2904890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45. State Service of Ukraine for Medicines and Drug Control.</w:t>
      </w:r>
    </w:p>
    <w:p w14:paraId="2E099B59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46. Certification and licensing as components of the quality system in pharmacy.</w:t>
      </w:r>
    </w:p>
    <w:p w14:paraId="41997BF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47. The essence of statistical methods of quality control.</w:t>
      </w:r>
    </w:p>
    <w:p w14:paraId="3834F238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48. Checklist.</w:t>
      </w:r>
    </w:p>
    <w:p w14:paraId="623D191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49. Pareto diagram.</w:t>
      </w:r>
    </w:p>
    <w:p w14:paraId="5CF99EB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50. Ishikawa cause-and-effect diagram.</w:t>
      </w:r>
    </w:p>
    <w:p w14:paraId="6F4BA8C0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51. Histogram.</w:t>
      </w:r>
    </w:p>
    <w:p w14:paraId="4495C3C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52. Scatter diagram.</w:t>
      </w:r>
    </w:p>
    <w:p w14:paraId="4083ECFA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53. Control chart.</w:t>
      </w:r>
    </w:p>
    <w:p w14:paraId="20270432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54. The essence of documenting the quality management system at a pharmaceutical enterprise.</w:t>
      </w:r>
    </w:p>
    <w:p w14:paraId="13D8AFA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55. Quality manual.</w:t>
      </w:r>
    </w:p>
    <w:p w14:paraId="7AD884EB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56. Process implementation methods.</w:t>
      </w:r>
    </w:p>
    <w:p w14:paraId="5F701BF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57. Third-level quality management system documents.</w:t>
      </w:r>
    </w:p>
    <w:p w14:paraId="6AEE930C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58. Fourth-level quality management system documents.</w:t>
      </w:r>
    </w:p>
    <w:p w14:paraId="5D8C20E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lastRenderedPageBreak/>
        <w:t>59. "Inter-process" documents.</w:t>
      </w:r>
    </w:p>
    <w:p w14:paraId="63D72D56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60. Formation of a document management procedure.</w:t>
      </w:r>
    </w:p>
    <w:p w14:paraId="50F319E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61. Quality risk management process.</w:t>
      </w:r>
    </w:p>
    <w:p w14:paraId="19358EB5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62. Failure mode and effect analysis (FMEA).</w:t>
      </w:r>
    </w:p>
    <w:p w14:paraId="36B07CC9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63. Failure Mode, Effects and Criticality Analysis (FMECA).</w:t>
      </w:r>
    </w:p>
    <w:p w14:paraId="2BB00C5A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64. Fault Tree Analysis (FTA).</w:t>
      </w:r>
    </w:p>
    <w:p w14:paraId="1BD6B0AA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65. Hazard Analysis and Critical Control Points (HACCP).</w:t>
      </w:r>
    </w:p>
    <w:p w14:paraId="164426A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66. Hazard Analysis and Performance Analysis (HAZOP).</w:t>
      </w:r>
    </w:p>
    <w:p w14:paraId="4F8C882C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67. Preliminary Hazard Analysis (PHA).</w:t>
      </w:r>
    </w:p>
    <w:p w14:paraId="5D50EB35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68. Risk Ranking and Filtering.</w:t>
      </w:r>
    </w:p>
    <w:p w14:paraId="045C275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69. Validation: Definition, Objects, Types.</w:t>
      </w:r>
    </w:p>
    <w:p w14:paraId="5E5D512D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70. Validation Staffing.</w:t>
      </w:r>
    </w:p>
    <w:p w14:paraId="3D0003C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71. Validation Documentation.</w:t>
      </w:r>
    </w:p>
    <w:p w14:paraId="449D3691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72. Validation of Analytical Methods.</w:t>
      </w:r>
    </w:p>
    <w:p w14:paraId="5E4333A3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73. Cleaning Validation.</w:t>
      </w:r>
    </w:p>
    <w:p w14:paraId="5320E1A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74. Qualification: Definition, Objects.</w:t>
      </w:r>
    </w:p>
    <w:p w14:paraId="2F7EDEE0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75. User Requirements Specification (URS).</w:t>
      </w:r>
    </w:p>
    <w:p w14:paraId="31390B39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76. Factory Acceptance Testing (FAT).</w:t>
      </w:r>
    </w:p>
    <w:p w14:paraId="747046F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fr-FR" w:eastAsia="ru-RU"/>
        </w:rPr>
      </w:pPr>
      <w:r w:rsidRPr="00BE0EB1">
        <w:rPr>
          <w:bCs/>
          <w:sz w:val="28"/>
          <w:szCs w:val="28"/>
          <w:lang w:val="fr-FR" w:eastAsia="ru-RU"/>
        </w:rPr>
        <w:t>77. Installation qualification (IQ).</w:t>
      </w:r>
    </w:p>
    <w:p w14:paraId="126094C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fr-FR" w:eastAsia="ru-RU"/>
        </w:rPr>
      </w:pPr>
      <w:r w:rsidRPr="00BE0EB1">
        <w:rPr>
          <w:bCs/>
          <w:sz w:val="28"/>
          <w:szCs w:val="28"/>
          <w:lang w:val="fr-FR" w:eastAsia="ru-RU"/>
        </w:rPr>
        <w:t>78. Operation qualification (OQ).</w:t>
      </w:r>
    </w:p>
    <w:p w14:paraId="1E397988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79. Performance qualification (PQ).</w:t>
      </w:r>
    </w:p>
    <w:p w14:paraId="1DF80FF4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80. Concept of audit, classification of audits.</w:t>
      </w:r>
    </w:p>
    <w:p w14:paraId="5088CA4C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81. Audit criteria and evidence.</w:t>
      </w:r>
    </w:p>
    <w:p w14:paraId="2AC5AA7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82. Principles of auditing.</w:t>
      </w:r>
    </w:p>
    <w:p w14:paraId="7C295D6F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83. Sequence of work for managing the audit program.</w:t>
      </w:r>
    </w:p>
    <w:p w14:paraId="59F27318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84. Sequence of work for conducting an audit.</w:t>
      </w:r>
    </w:p>
    <w:p w14:paraId="45363EA7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 w:eastAsia="ru-RU"/>
        </w:rPr>
      </w:pPr>
      <w:r w:rsidRPr="00BE0EB1">
        <w:rPr>
          <w:bCs/>
          <w:sz w:val="28"/>
          <w:szCs w:val="28"/>
          <w:lang w:val="en-US" w:eastAsia="ru-RU"/>
        </w:rPr>
        <w:t>85. Audit methods.</w:t>
      </w:r>
    </w:p>
    <w:p w14:paraId="4D0E6BD4" w14:textId="77777777" w:rsidR="00BE0EB1" w:rsidRPr="00BE0EB1" w:rsidRDefault="00BE0EB1" w:rsidP="00BE0EB1">
      <w:pPr>
        <w:pStyle w:val="a5"/>
        <w:spacing w:line="360" w:lineRule="auto"/>
        <w:ind w:left="567" w:firstLine="0"/>
        <w:rPr>
          <w:bCs/>
          <w:sz w:val="28"/>
          <w:szCs w:val="28"/>
          <w:lang w:val="en-US"/>
        </w:rPr>
      </w:pPr>
      <w:r w:rsidRPr="00BE0EB1">
        <w:rPr>
          <w:bCs/>
          <w:sz w:val="28"/>
          <w:szCs w:val="28"/>
          <w:lang w:val="en-US" w:eastAsia="ru-RU"/>
        </w:rPr>
        <w:t>86. Follow-up of audit results.</w:t>
      </w:r>
    </w:p>
    <w:p w14:paraId="15A1F2B8" w14:textId="77777777" w:rsidR="00BE0EB1" w:rsidRPr="00BE0EB1" w:rsidRDefault="00BE0EB1" w:rsidP="00BE0EB1">
      <w:pPr>
        <w:spacing w:line="360" w:lineRule="auto"/>
        <w:rPr>
          <w:rFonts w:cs="Times New Roman"/>
          <w:sz w:val="28"/>
          <w:szCs w:val="28"/>
          <w:lang w:val="en-US"/>
        </w:rPr>
      </w:pPr>
    </w:p>
    <w:sectPr w:rsidR="00BE0EB1" w:rsidRPr="00BE0EB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EB6"/>
    <w:rsid w:val="00012E6F"/>
    <w:rsid w:val="000337AC"/>
    <w:rsid w:val="00050246"/>
    <w:rsid w:val="000E2AFA"/>
    <w:rsid w:val="006415A8"/>
    <w:rsid w:val="00883D70"/>
    <w:rsid w:val="00A16470"/>
    <w:rsid w:val="00A921C3"/>
    <w:rsid w:val="00B9522C"/>
    <w:rsid w:val="00BD456B"/>
    <w:rsid w:val="00BE0EB1"/>
    <w:rsid w:val="00F31EB6"/>
    <w:rsid w:val="00F9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C68EF"/>
  <w15:chartTrackingRefBased/>
  <w15:docId w15:val="{1DF3B8AF-EE72-4253-A42A-BD6212DA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uk-U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3D70"/>
    <w:pPr>
      <w:spacing w:after="0" w:line="240" w:lineRule="auto"/>
    </w:pPr>
    <w:rPr>
      <w:rFonts w:ascii="Times New Roman" w:hAnsi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83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3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83D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883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3D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3D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3D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3D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3D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3D70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883D7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883D70"/>
    <w:rPr>
      <w:rFonts w:ascii="Times New Roman" w:eastAsiaTheme="majorEastAsia" w:hAnsi="Times New Roman" w:cstheme="majorBidi"/>
      <w:color w:val="2F5496" w:themeColor="accent1" w:themeShade="BF"/>
      <w:kern w:val="0"/>
      <w:sz w:val="28"/>
      <w:szCs w:val="28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883D70"/>
    <w:rPr>
      <w:rFonts w:ascii="Times New Roman" w:eastAsiaTheme="majorEastAsia" w:hAnsi="Times New Roman" w:cstheme="majorBidi"/>
      <w:i/>
      <w:iCs/>
      <w:color w:val="2F5496" w:themeColor="accent1" w:themeShade="BF"/>
      <w:kern w:val="0"/>
      <w:lang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883D70"/>
    <w:rPr>
      <w:rFonts w:ascii="Times New Roman" w:eastAsiaTheme="majorEastAsia" w:hAnsi="Times New Roman" w:cstheme="majorBidi"/>
      <w:color w:val="2F5496" w:themeColor="accent1" w:themeShade="BF"/>
      <w:kern w:val="0"/>
      <w:lang w:eastAsia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883D70"/>
    <w:rPr>
      <w:rFonts w:ascii="Times New Roman" w:eastAsiaTheme="majorEastAsia" w:hAnsi="Times New Roman" w:cstheme="majorBidi"/>
      <w:i/>
      <w:iCs/>
      <w:color w:val="595959" w:themeColor="text1" w:themeTint="A6"/>
      <w:kern w:val="0"/>
      <w:lang w:eastAsia="ru-RU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883D70"/>
    <w:rPr>
      <w:rFonts w:ascii="Times New Roman" w:eastAsiaTheme="majorEastAsia" w:hAnsi="Times New Roman" w:cstheme="majorBidi"/>
      <w:color w:val="595959" w:themeColor="text1" w:themeTint="A6"/>
      <w:kern w:val="0"/>
      <w:lang w:eastAsia="ru-RU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883D70"/>
    <w:rPr>
      <w:rFonts w:ascii="Times New Roman" w:eastAsiaTheme="majorEastAsia" w:hAnsi="Times New Roman" w:cstheme="majorBidi"/>
      <w:i/>
      <w:iCs/>
      <w:color w:val="272727" w:themeColor="text1" w:themeTint="D8"/>
      <w:kern w:val="0"/>
      <w:lang w:eastAsia="ru-RU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883D70"/>
    <w:rPr>
      <w:rFonts w:ascii="Times New Roman" w:eastAsiaTheme="majorEastAsia" w:hAnsi="Times New Roman" w:cstheme="majorBidi"/>
      <w:color w:val="272727" w:themeColor="text1" w:themeTint="D8"/>
      <w:kern w:val="0"/>
      <w:lang w:eastAsia="ru-RU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883D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883D70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none"/>
    </w:rPr>
  </w:style>
  <w:style w:type="paragraph" w:styleId="a5">
    <w:name w:val="Body Text"/>
    <w:basedOn w:val="a"/>
    <w:link w:val="a6"/>
    <w:uiPriority w:val="1"/>
    <w:qFormat/>
    <w:rsid w:val="00883D70"/>
    <w:pPr>
      <w:widowControl w:val="0"/>
      <w:autoSpaceDE w:val="0"/>
      <w:autoSpaceDN w:val="0"/>
      <w:ind w:left="1958" w:firstLine="283"/>
    </w:pPr>
    <w:rPr>
      <w:rFonts w:eastAsia="Times New Roman" w:cs="Times New Roman"/>
      <w:lang w:eastAsia="en-US"/>
    </w:rPr>
  </w:style>
  <w:style w:type="character" w:customStyle="1" w:styleId="a6">
    <w:name w:val="Основний текст Знак"/>
    <w:basedOn w:val="a0"/>
    <w:link w:val="a5"/>
    <w:uiPriority w:val="1"/>
    <w:rsid w:val="00883D70"/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styleId="a7">
    <w:name w:val="Subtitle"/>
    <w:basedOn w:val="a"/>
    <w:next w:val="a"/>
    <w:link w:val="a8"/>
    <w:uiPriority w:val="11"/>
    <w:qFormat/>
    <w:rsid w:val="00883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8">
    <w:name w:val="Підзаголовок Знак"/>
    <w:basedOn w:val="a0"/>
    <w:link w:val="a7"/>
    <w:uiPriority w:val="11"/>
    <w:rsid w:val="00883D70"/>
    <w:rPr>
      <w:rFonts w:ascii="Times New Roman" w:eastAsiaTheme="majorEastAsia" w:hAnsi="Times New Roman" w:cstheme="majorBidi"/>
      <w:color w:val="595959" w:themeColor="text1" w:themeTint="A6"/>
      <w:spacing w:val="15"/>
      <w:kern w:val="0"/>
      <w:sz w:val="28"/>
      <w:szCs w:val="28"/>
      <w:lang w:eastAsia="ru-RU"/>
      <w14:ligatures w14:val="none"/>
    </w:rPr>
  </w:style>
  <w:style w:type="character" w:styleId="a9">
    <w:name w:val="Strong"/>
    <w:basedOn w:val="a0"/>
    <w:uiPriority w:val="22"/>
    <w:qFormat/>
    <w:rsid w:val="00883D70"/>
    <w:rPr>
      <w:b/>
      <w:bCs/>
    </w:rPr>
  </w:style>
  <w:style w:type="character" w:styleId="aa">
    <w:name w:val="Emphasis"/>
    <w:basedOn w:val="a0"/>
    <w:uiPriority w:val="20"/>
    <w:qFormat/>
    <w:rsid w:val="00883D70"/>
    <w:rPr>
      <w:i/>
      <w:iCs/>
    </w:rPr>
  </w:style>
  <w:style w:type="paragraph" w:styleId="ab">
    <w:name w:val="List Paragraph"/>
    <w:basedOn w:val="a"/>
    <w:uiPriority w:val="99"/>
    <w:qFormat/>
    <w:rsid w:val="00883D70"/>
    <w:pPr>
      <w:ind w:left="720"/>
      <w:contextualSpacing/>
    </w:pPr>
    <w:rPr>
      <w:rFonts w:eastAsia="Times New Roman" w:cs="Times New Roman"/>
    </w:rPr>
  </w:style>
  <w:style w:type="paragraph" w:styleId="ac">
    <w:name w:val="Quote"/>
    <w:basedOn w:val="a"/>
    <w:next w:val="a"/>
    <w:link w:val="ad"/>
    <w:uiPriority w:val="29"/>
    <w:qFormat/>
    <w:rsid w:val="00883D70"/>
    <w:pPr>
      <w:spacing w:before="160"/>
      <w:jc w:val="center"/>
    </w:pPr>
    <w:rPr>
      <w:rFonts w:eastAsia="Times New Roman" w:cs="Times New Roman"/>
      <w:i/>
      <w:iCs/>
      <w:color w:val="404040" w:themeColor="text1" w:themeTint="BF"/>
    </w:rPr>
  </w:style>
  <w:style w:type="character" w:customStyle="1" w:styleId="ad">
    <w:name w:val="Цитата Знак"/>
    <w:basedOn w:val="a0"/>
    <w:link w:val="ac"/>
    <w:uiPriority w:val="29"/>
    <w:rsid w:val="00883D70"/>
    <w:rPr>
      <w:rFonts w:ascii="Times New Roman" w:eastAsia="Times New Roman" w:hAnsi="Times New Roman" w:cs="Times New Roman"/>
      <w:i/>
      <w:iCs/>
      <w:color w:val="404040" w:themeColor="text1" w:themeTint="BF"/>
      <w:kern w:val="0"/>
      <w:lang w:eastAsia="ru-RU"/>
      <w14:ligatures w14:val="none"/>
    </w:rPr>
  </w:style>
  <w:style w:type="paragraph" w:styleId="ae">
    <w:name w:val="Intense Quote"/>
    <w:basedOn w:val="a"/>
    <w:next w:val="a"/>
    <w:link w:val="af"/>
    <w:uiPriority w:val="30"/>
    <w:qFormat/>
    <w:rsid w:val="00883D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="Times New Roman" w:cs="Times New Roman"/>
      <w:i/>
      <w:iCs/>
      <w:color w:val="2F5496" w:themeColor="accent1" w:themeShade="BF"/>
    </w:rPr>
  </w:style>
  <w:style w:type="character" w:customStyle="1" w:styleId="af">
    <w:name w:val="Насичена цитата Знак"/>
    <w:basedOn w:val="a0"/>
    <w:link w:val="ae"/>
    <w:uiPriority w:val="30"/>
    <w:rsid w:val="00883D70"/>
    <w:rPr>
      <w:rFonts w:ascii="Times New Roman" w:eastAsia="Times New Roman" w:hAnsi="Times New Roman" w:cs="Times New Roman"/>
      <w:i/>
      <w:iCs/>
      <w:color w:val="2F5496" w:themeColor="accent1" w:themeShade="BF"/>
      <w:kern w:val="0"/>
      <w:lang w:eastAsia="ru-RU"/>
      <w14:ligatures w14:val="none"/>
    </w:rPr>
  </w:style>
  <w:style w:type="character" w:styleId="af0">
    <w:name w:val="Intense Emphasis"/>
    <w:basedOn w:val="a0"/>
    <w:uiPriority w:val="21"/>
    <w:qFormat/>
    <w:rsid w:val="00883D70"/>
    <w:rPr>
      <w:i/>
      <w:iCs/>
      <w:color w:val="2F5496" w:themeColor="accent1" w:themeShade="BF"/>
    </w:rPr>
  </w:style>
  <w:style w:type="character" w:styleId="af1">
    <w:name w:val="Intense Reference"/>
    <w:basedOn w:val="a0"/>
    <w:uiPriority w:val="32"/>
    <w:qFormat/>
    <w:rsid w:val="00883D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2150</Words>
  <Characters>1226</Characters>
  <Application>Microsoft Office Word</Application>
  <DocSecurity>0</DocSecurity>
  <Lines>10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Еберле Лідія Вікторівна</dc:creator>
  <cp:keywords/>
  <dc:description/>
  <cp:lastModifiedBy>Еберле Лідія Вікторівна</cp:lastModifiedBy>
  <cp:revision>3</cp:revision>
  <dcterms:created xsi:type="dcterms:W3CDTF">2026-03-22T23:03:00Z</dcterms:created>
  <dcterms:modified xsi:type="dcterms:W3CDTF">2026-03-22T23:04:00Z</dcterms:modified>
</cp:coreProperties>
</file>